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23"/>
        </w:rPr>
      </w:pPr>
    </w:p>
    <w:p>
      <w:pPr>
        <w:pStyle w:val="3"/>
        <w:spacing w:before="56"/>
        <w:ind w:left="568" w:right="733"/>
        <w:jc w:val="center"/>
      </w:pPr>
      <w:r>
        <w:t>广招投办〔2021〕2 号</w:t>
      </w:r>
    </w:p>
    <w:p>
      <w:pPr>
        <w:pStyle w:val="3"/>
        <w:rPr>
          <w:sz w:val="14"/>
        </w:rPr>
      </w:pPr>
    </w:p>
    <w:p>
      <w:pPr>
        <w:pStyle w:val="3"/>
        <w:spacing w:line="36" w:lineRule="exact"/>
        <w:ind w:left="-15"/>
        <w:rPr>
          <w:sz w:val="3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731"/>
        <w:textAlignment w:val="auto"/>
      </w:pPr>
      <w:r>
        <w:rPr>
          <w:spacing w:val="-1"/>
        </w:rPr>
        <w:t>广元市建设项目招投标办公室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00" w:lineRule="exact"/>
        <w:ind w:left="570" w:right="731" w:firstLine="0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pacing w:val="-1"/>
          <w:sz w:val="44"/>
        </w:rPr>
        <w:t>关于印发《广元市工程建设项目招标投标“十九严禁”规定》的通知</w:t>
      </w:r>
    </w:p>
    <w:p>
      <w:pPr>
        <w:pStyle w:val="3"/>
        <w:spacing w:before="3"/>
        <w:rPr>
          <w:rFonts w:ascii="方正小标宋简体"/>
          <w:sz w:val="33"/>
        </w:rPr>
      </w:pPr>
    </w:p>
    <w:p>
      <w:pPr>
        <w:pStyle w:val="3"/>
        <w:spacing w:line="316" w:lineRule="auto"/>
        <w:ind w:left="107" w:right="269"/>
      </w:pPr>
      <w:r>
        <w:rPr>
          <w:spacing w:val="-11"/>
        </w:rPr>
        <w:t>各县区人民政府，市级各部门，广元经济技术开发区、市天然气综合利用工业园区管委会：</w:t>
      </w:r>
    </w:p>
    <w:p>
      <w:pPr>
        <w:pStyle w:val="3"/>
        <w:spacing w:line="316" w:lineRule="auto"/>
        <w:ind w:left="107" w:right="269" w:firstLine="639"/>
        <w:jc w:val="both"/>
      </w:pPr>
      <w:r>
        <w:rPr>
          <w:spacing w:val="-8"/>
        </w:rPr>
        <w:t>为进一步规范工程建设项目招标投标活动，强化招标投标监</w:t>
      </w:r>
      <w:r>
        <w:rPr>
          <w:spacing w:val="-12"/>
        </w:rPr>
        <w:t>管，营造公平、公正、法制化的营商环境，结合我市实际，特制</w:t>
      </w:r>
      <w:r>
        <w:rPr>
          <w:spacing w:val="-19"/>
        </w:rPr>
        <w:t>定《广元市工程建设项目招标投标“十九严禁”规定》，现印发</w:t>
      </w:r>
      <w:r>
        <w:t>给你们，请严格遵照执行。</w:t>
      </w:r>
    </w:p>
    <w:p>
      <w:pPr>
        <w:pStyle w:val="3"/>
        <w:spacing w:before="233" w:line="316" w:lineRule="auto"/>
        <w:ind w:left="4967" w:right="952" w:hanging="861"/>
        <w:jc w:val="both"/>
      </w:pPr>
    </w:p>
    <w:p>
      <w:pPr>
        <w:pStyle w:val="3"/>
        <w:spacing w:before="233" w:line="316" w:lineRule="auto"/>
        <w:ind w:left="4967" w:right="952" w:hanging="861"/>
        <w:jc w:val="both"/>
      </w:pPr>
    </w:p>
    <w:p>
      <w:pPr>
        <w:pStyle w:val="3"/>
        <w:spacing w:before="233" w:line="316" w:lineRule="auto"/>
        <w:ind w:left="4967" w:right="952" w:hanging="861"/>
        <w:jc w:val="both"/>
      </w:pPr>
      <w:r>
        <w:t>广元市建设项目招投标办公室2021</w:t>
      </w:r>
      <w:r>
        <w:rPr>
          <w:spacing w:val="-55"/>
        </w:rPr>
        <w:t xml:space="preserve"> 年 </w:t>
      </w:r>
      <w:r>
        <w:t>3</w:t>
      </w:r>
      <w:r>
        <w:rPr>
          <w:spacing w:val="-54"/>
        </w:rPr>
        <w:t xml:space="preserve"> 月 </w:t>
      </w:r>
      <w:r>
        <w:t>29</w:t>
      </w:r>
      <w:r>
        <w:rPr>
          <w:spacing w:val="-41"/>
        </w:rPr>
        <w:t xml:space="preserve"> 日</w:t>
      </w:r>
    </w:p>
    <w:p>
      <w:pPr>
        <w:spacing w:after="0" w:line="316" w:lineRule="auto"/>
        <w:jc w:val="both"/>
        <w:sectPr>
          <w:footerReference r:id="rId5" w:type="default"/>
          <w:footerReference r:id="rId6" w:type="even"/>
          <w:type w:val="continuous"/>
          <w:pgSz w:w="11910" w:h="16840"/>
          <w:pgMar w:top="1600" w:right="1200" w:bottom="1740" w:left="1480" w:header="720" w:footer="1543" w:gutter="0"/>
          <w:pgNumType w:start="1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5"/>
        </w:rPr>
      </w:pPr>
    </w:p>
    <w:p>
      <w:pPr>
        <w:pStyle w:val="2"/>
        <w:spacing w:before="110" w:line="177" w:lineRule="auto"/>
        <w:ind w:left="2769" w:right="1834" w:hanging="1100"/>
        <w:jc w:val="left"/>
      </w:pPr>
      <w:r>
        <w:rPr>
          <w:spacing w:val="-1"/>
        </w:rPr>
        <w:t>广元市工程建设项目招标投标</w:t>
      </w:r>
      <w:r>
        <w:t>“十九严禁”规定</w:t>
      </w:r>
    </w:p>
    <w:p>
      <w:pPr>
        <w:pStyle w:val="3"/>
        <w:spacing w:before="1"/>
        <w:rPr>
          <w:rFonts w:ascii="方正小标宋简体"/>
          <w:sz w:val="39"/>
        </w:rPr>
      </w:pPr>
    </w:p>
    <w:p>
      <w:pPr>
        <w:pStyle w:val="3"/>
        <w:ind w:left="747"/>
        <w:rPr>
          <w:rFonts w:hint="eastAsia" w:ascii="黑体" w:eastAsia="黑体"/>
        </w:rPr>
      </w:pPr>
      <w:r>
        <w:rPr>
          <w:rFonts w:hint="eastAsia" w:ascii="黑体" w:eastAsia="黑体"/>
          <w:spacing w:val="-1"/>
        </w:rPr>
        <w:t>一、招标人（项目业主）严禁有下列行为</w:t>
      </w:r>
    </w:p>
    <w:p>
      <w:pPr>
        <w:pStyle w:val="3"/>
        <w:spacing w:before="131" w:line="364" w:lineRule="auto"/>
        <w:ind w:left="107" w:right="108" w:firstLine="639"/>
      </w:pPr>
      <w:r>
        <w:t>（一</w:t>
      </w:r>
      <w:r>
        <w:rPr>
          <w:spacing w:val="-59"/>
        </w:rPr>
        <w:t>）</w:t>
      </w:r>
      <w:r>
        <w:rPr>
          <w:spacing w:val="-5"/>
        </w:rPr>
        <w:t>不按项目审批核准方式招标，将应当招标的项目化整</w:t>
      </w:r>
      <w:r>
        <w:rPr>
          <w:spacing w:val="-19"/>
        </w:rPr>
        <w:t xml:space="preserve">为零或以其他方式规避招标；与投标人、招标代理机构相互串通， </w:t>
      </w:r>
      <w:r>
        <w:rPr>
          <w:spacing w:val="-20"/>
        </w:rPr>
        <w:t>设置不合理条件排斥潜在投标人；不按规定使用现行行业标准招</w:t>
      </w:r>
      <w:r>
        <w:rPr>
          <w:spacing w:val="-17"/>
        </w:rPr>
        <w:t>标文件范本招标，不按规定在指定的媒介发布招标公告或资格预审公告；</w:t>
      </w:r>
    </w:p>
    <w:p>
      <w:pPr>
        <w:pStyle w:val="3"/>
        <w:spacing w:before="4" w:line="364" w:lineRule="auto"/>
        <w:ind w:left="107" w:right="261" w:firstLine="639"/>
        <w:jc w:val="both"/>
      </w:pPr>
      <w:r>
        <w:rPr>
          <w:spacing w:val="-1"/>
        </w:rPr>
        <w:t>（二</w:t>
      </w:r>
      <w:r>
        <w:rPr>
          <w:spacing w:val="-59"/>
        </w:rPr>
        <w:t>）</w:t>
      </w:r>
      <w:r>
        <w:rPr>
          <w:spacing w:val="-5"/>
        </w:rPr>
        <w:t>不按规定组建评标委员会，不按规定在招标文件发布</w:t>
      </w:r>
      <w:r>
        <w:rPr>
          <w:spacing w:val="7"/>
        </w:rPr>
        <w:t>前将招标代理机构信息和在中标通知书发放前将参与现场开标</w:t>
      </w:r>
      <w:r>
        <w:rPr>
          <w:spacing w:val="-12"/>
        </w:rPr>
        <w:t>的投标人、评标专家、招标人现场代表等人员的信息录入公共资源交易系统；</w:t>
      </w:r>
    </w:p>
    <w:p>
      <w:pPr>
        <w:pStyle w:val="3"/>
        <w:spacing w:before="4" w:line="364" w:lineRule="auto"/>
        <w:ind w:left="107" w:right="269" w:firstLine="639"/>
        <w:jc w:val="both"/>
      </w:pPr>
      <w:r>
        <w:rPr>
          <w:spacing w:val="-1"/>
        </w:rPr>
        <w:t>（三</w:t>
      </w:r>
      <w:r>
        <w:rPr>
          <w:spacing w:val="-40"/>
        </w:rPr>
        <w:t>）</w:t>
      </w:r>
      <w:r>
        <w:rPr>
          <w:spacing w:val="-8"/>
        </w:rPr>
        <w:t>不按规定移送弄虚作假、围标串标、中标人转包和违</w:t>
      </w:r>
      <w:r>
        <w:rPr>
          <w:spacing w:val="-10"/>
        </w:rPr>
        <w:t>法分包等问题线索；不依法依规处理招标投标异议、举报；不按</w:t>
      </w:r>
      <w:r>
        <w:rPr>
          <w:spacing w:val="-8"/>
        </w:rPr>
        <w:t>招标文件约定收取履约保证金就签订合同，不按招标文件和中标</w:t>
      </w:r>
      <w:r>
        <w:rPr>
          <w:spacing w:val="-7"/>
        </w:rPr>
        <w:t>人投标文件签订书面合同以及签订阴阳合同；不按招标文件约定</w:t>
      </w:r>
      <w:r>
        <w:rPr>
          <w:spacing w:val="-9"/>
        </w:rPr>
        <w:t>退还或不予退还投标保证金、履约保证金，不按规定将建设资金</w:t>
      </w:r>
      <w:r>
        <w:rPr>
          <w:spacing w:val="-8"/>
        </w:rPr>
        <w:t>拨付到中标人在项目实施地银行开设、留有投标文件承诺的项目</w:t>
      </w:r>
      <w:r>
        <w:rPr>
          <w:spacing w:val="-10"/>
        </w:rPr>
        <w:t>经理印鉴的企业法人账户的，不按照合同约定收取中标单位违约</w:t>
      </w:r>
    </w:p>
    <w:p>
      <w:pPr>
        <w:pStyle w:val="3"/>
        <w:spacing w:before="6"/>
        <w:ind w:left="107"/>
      </w:pPr>
      <w:r>
        <w:rPr>
          <w:spacing w:val="-20"/>
        </w:rPr>
        <w:t>金；违规同意中标人变更项目班子人员，不按规定对</w:t>
      </w:r>
      <w:r>
        <w:t>（在建项目）</w:t>
      </w:r>
    </w:p>
    <w:p>
      <w:pPr>
        <w:spacing w:after="0"/>
        <w:sectPr>
          <w:pgSz w:w="11910" w:h="16840"/>
          <w:pgMar w:top="1600" w:right="1200" w:bottom="1740" w:left="1480" w:header="0" w:footer="1543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2"/>
        </w:rPr>
      </w:pPr>
    </w:p>
    <w:p>
      <w:pPr>
        <w:pStyle w:val="3"/>
        <w:spacing w:before="55" w:line="364" w:lineRule="auto"/>
        <w:ind w:left="107" w:right="270"/>
      </w:pPr>
      <w:r>
        <w:rPr>
          <w:spacing w:val="-8"/>
        </w:rPr>
        <w:t>中标单位项目班子人员进行考勤，或者考勤中弄虚作假；不按规定程序要求变更工程内容，擅自增加工程量。</w:t>
      </w:r>
    </w:p>
    <w:p>
      <w:pPr>
        <w:pStyle w:val="3"/>
        <w:spacing w:before="37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二、招标代理机构严禁有下列行为</w:t>
      </w:r>
    </w:p>
    <w:p>
      <w:pPr>
        <w:pStyle w:val="3"/>
        <w:spacing w:before="131" w:line="364" w:lineRule="auto"/>
        <w:ind w:left="107" w:right="268" w:firstLine="639"/>
      </w:pPr>
      <w:r>
        <w:rPr>
          <w:spacing w:val="-1"/>
        </w:rPr>
        <w:t>（四</w:t>
      </w:r>
      <w:r>
        <w:rPr>
          <w:spacing w:val="-40"/>
        </w:rPr>
        <w:t>）</w:t>
      </w:r>
      <w:r>
        <w:rPr>
          <w:spacing w:val="-10"/>
        </w:rPr>
        <w:t>转让、出借、倒卖招标代理资格证书或转让招标代理业务；</w:t>
      </w:r>
    </w:p>
    <w:p>
      <w:pPr>
        <w:pStyle w:val="3"/>
        <w:spacing w:before="1" w:line="364" w:lineRule="auto"/>
        <w:ind w:left="107" w:right="269" w:firstLine="639"/>
        <w:jc w:val="both"/>
      </w:pPr>
      <w:r>
        <w:rPr>
          <w:spacing w:val="-1"/>
        </w:rPr>
        <w:t>（五</w:t>
      </w:r>
      <w:r>
        <w:rPr>
          <w:spacing w:val="-40"/>
        </w:rPr>
        <w:t>）</w:t>
      </w:r>
      <w:r>
        <w:rPr>
          <w:spacing w:val="-6"/>
        </w:rPr>
        <w:t>设置不合理条件限制排斥潜在投标人，与招标人、投</w:t>
      </w:r>
      <w:r>
        <w:rPr>
          <w:spacing w:val="-13"/>
        </w:rPr>
        <w:t>标人、评标人之间相互串通，损害国家利益、社会公共利益或者他人合法权益；</w:t>
      </w:r>
    </w:p>
    <w:p>
      <w:pPr>
        <w:pStyle w:val="3"/>
        <w:spacing w:before="3"/>
        <w:ind w:left="747"/>
      </w:pPr>
      <w:r>
        <w:t>（六）弄虚作假及其他影响招标投标公平公正的行为。</w:t>
      </w:r>
    </w:p>
    <w:p>
      <w:pPr>
        <w:pStyle w:val="3"/>
        <w:spacing w:before="249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三、投标人严禁有下列行为</w:t>
      </w:r>
    </w:p>
    <w:p>
      <w:pPr>
        <w:pStyle w:val="3"/>
        <w:spacing w:before="131" w:line="364" w:lineRule="auto"/>
        <w:ind w:left="108" w:right="109" w:firstLine="639"/>
      </w:pPr>
      <w:r>
        <w:rPr>
          <w:spacing w:val="-1"/>
        </w:rPr>
        <w:t>（七</w:t>
      </w:r>
      <w:r>
        <w:rPr>
          <w:spacing w:val="-93"/>
        </w:rPr>
        <w:t>）</w:t>
      </w:r>
      <w:r>
        <w:rPr>
          <w:spacing w:val="-14"/>
        </w:rPr>
        <w:t>出借投标所需的资质证书，与招标人、招标代理机构、</w:t>
      </w:r>
      <w:r>
        <w:rPr>
          <w:spacing w:val="-17"/>
        </w:rPr>
        <w:t>其他投标人之间互相串通，以及从事以围标串标为目的的虚假投标活动；</w:t>
      </w:r>
    </w:p>
    <w:p>
      <w:pPr>
        <w:pStyle w:val="3"/>
        <w:spacing w:before="2" w:line="364" w:lineRule="auto"/>
        <w:ind w:left="107" w:right="269" w:firstLine="639"/>
      </w:pPr>
      <w:r>
        <w:rPr>
          <w:spacing w:val="-1"/>
        </w:rPr>
        <w:t>（八</w:t>
      </w:r>
      <w:r>
        <w:rPr>
          <w:spacing w:val="-40"/>
        </w:rPr>
        <w:t>）</w:t>
      </w:r>
      <w:r>
        <w:rPr>
          <w:spacing w:val="-9"/>
        </w:rPr>
        <w:t>提供虚假的财务、业绩或信用状况，以及拟任项目负责人和主要负责人员简历、劳动关系证明、社保等信息；</w:t>
      </w:r>
    </w:p>
    <w:p>
      <w:pPr>
        <w:pStyle w:val="3"/>
        <w:spacing w:before="2"/>
        <w:ind w:left="747"/>
      </w:pPr>
      <w:r>
        <w:t>（九)不主动配合相关监管部门调查，不执行相关处罚决定。</w:t>
      </w:r>
    </w:p>
    <w:p>
      <w:pPr>
        <w:pStyle w:val="3"/>
        <w:spacing w:before="249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四、中标人严禁有下列行为</w:t>
      </w:r>
    </w:p>
    <w:p>
      <w:pPr>
        <w:pStyle w:val="3"/>
        <w:spacing w:before="131" w:line="364" w:lineRule="auto"/>
        <w:ind w:left="107" w:right="154" w:firstLine="639"/>
      </w:pPr>
      <w:r>
        <w:t>（十）无正当理由放弃中标、买标卖标或将中标项目转包、违法分包；</w:t>
      </w:r>
    </w:p>
    <w:p>
      <w:pPr>
        <w:pStyle w:val="3"/>
        <w:spacing w:before="1"/>
        <w:ind w:left="747"/>
      </w:pPr>
      <w:r>
        <w:t>（十一）与招标人、监理单位、监管部门相互串通、弄虚作</w:t>
      </w:r>
    </w:p>
    <w:p>
      <w:pPr>
        <w:pStyle w:val="3"/>
        <w:spacing w:before="215"/>
        <w:ind w:left="107"/>
      </w:pPr>
      <w:r>
        <w:t>假违规增加工程量、偷工减料。</w:t>
      </w:r>
    </w:p>
    <w:p>
      <w:pPr>
        <w:spacing w:after="0"/>
        <w:sectPr>
          <w:pgSz w:w="11910" w:h="16840"/>
          <w:pgMar w:top="1600" w:right="1200" w:bottom="1740" w:left="1480" w:header="0" w:footer="1543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5"/>
        </w:rPr>
      </w:pPr>
    </w:p>
    <w:p>
      <w:pPr>
        <w:pStyle w:val="3"/>
        <w:spacing w:before="56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五、评标专家严禁有下列行为</w:t>
      </w:r>
    </w:p>
    <w:p>
      <w:pPr>
        <w:pStyle w:val="3"/>
        <w:spacing w:before="131"/>
        <w:ind w:left="747"/>
      </w:pPr>
      <w:r>
        <w:t>（十二）不执行回避相关规定；</w:t>
      </w:r>
    </w:p>
    <w:p>
      <w:pPr>
        <w:pStyle w:val="3"/>
        <w:spacing w:before="214" w:line="364" w:lineRule="auto"/>
        <w:ind w:left="107" w:right="269" w:firstLine="639"/>
      </w:pPr>
      <w:r>
        <w:rPr>
          <w:spacing w:val="-1"/>
        </w:rPr>
        <w:t>（十三</w:t>
      </w:r>
      <w:r>
        <w:rPr>
          <w:spacing w:val="-39"/>
        </w:rPr>
        <w:t>）</w:t>
      </w:r>
      <w:r>
        <w:rPr>
          <w:spacing w:val="-7"/>
        </w:rPr>
        <w:t>在评标活动中与投标人、招标代理机构、评标专家之间相互串联串通，影响公平公正评标的；</w:t>
      </w:r>
    </w:p>
    <w:p>
      <w:pPr>
        <w:pStyle w:val="3"/>
        <w:spacing w:before="1" w:line="364" w:lineRule="auto"/>
        <w:ind w:left="107" w:right="270" w:firstLine="639"/>
      </w:pPr>
      <w:r>
        <w:rPr>
          <w:spacing w:val="-1"/>
        </w:rPr>
        <w:t>（十四</w:t>
      </w:r>
      <w:r>
        <w:rPr>
          <w:spacing w:val="-59"/>
        </w:rPr>
        <w:t>）</w:t>
      </w:r>
      <w:r>
        <w:rPr>
          <w:spacing w:val="-6"/>
        </w:rPr>
        <w:t>不遵守评标现场管理规定；违反招标文件规定的评标标准和方法评标。</w:t>
      </w:r>
    </w:p>
    <w:p>
      <w:pPr>
        <w:pStyle w:val="3"/>
        <w:spacing w:before="37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六、行政监管部门严禁有下列行为</w:t>
      </w:r>
    </w:p>
    <w:p>
      <w:pPr>
        <w:pStyle w:val="3"/>
        <w:spacing w:before="131" w:line="364" w:lineRule="auto"/>
        <w:ind w:left="107" w:right="269" w:firstLine="639"/>
      </w:pPr>
      <w:r>
        <w:rPr>
          <w:spacing w:val="-1"/>
        </w:rPr>
        <w:t>（十五</w:t>
      </w:r>
      <w:r>
        <w:rPr>
          <w:spacing w:val="-39"/>
        </w:rPr>
        <w:t>）</w:t>
      </w:r>
      <w:r>
        <w:rPr>
          <w:spacing w:val="-8"/>
        </w:rPr>
        <w:t>不认真履行监管职责、推诿扯皮，不按规定审核中标单位项目班子人员变更，不按规定移送违法违规问题线索；</w:t>
      </w:r>
    </w:p>
    <w:p>
      <w:pPr>
        <w:pStyle w:val="3"/>
        <w:spacing w:before="2" w:line="364" w:lineRule="auto"/>
        <w:ind w:left="107" w:right="269" w:firstLine="639"/>
      </w:pPr>
      <w:r>
        <w:rPr>
          <w:spacing w:val="-1"/>
        </w:rPr>
        <w:t>（十六</w:t>
      </w:r>
      <w:r>
        <w:rPr>
          <w:spacing w:val="-29"/>
        </w:rPr>
        <w:t>）</w:t>
      </w:r>
      <w:r>
        <w:rPr>
          <w:spacing w:val="-10"/>
        </w:rPr>
        <w:t>不认真执行《广元市公共资源交易“黑名单”制度</w:t>
      </w:r>
      <w:r>
        <w:rPr>
          <w:spacing w:val="-34"/>
        </w:rPr>
        <w:t>管理办法》。</w:t>
      </w:r>
    </w:p>
    <w:p>
      <w:pPr>
        <w:pStyle w:val="3"/>
        <w:spacing w:before="36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七、领导干部和公职人员严禁有下列行为</w:t>
      </w:r>
    </w:p>
    <w:p>
      <w:pPr>
        <w:pStyle w:val="3"/>
        <w:spacing w:before="131" w:line="364" w:lineRule="auto"/>
        <w:ind w:left="107" w:right="269" w:firstLine="639"/>
        <w:jc w:val="both"/>
      </w:pPr>
      <w:r>
        <w:rPr>
          <w:spacing w:val="-1"/>
        </w:rPr>
        <w:t>（十七</w:t>
      </w:r>
      <w:r>
        <w:rPr>
          <w:spacing w:val="-59"/>
        </w:rPr>
        <w:t>）</w:t>
      </w:r>
      <w:r>
        <w:rPr>
          <w:spacing w:val="-6"/>
        </w:rPr>
        <w:t>利用职权或者职务上的影响，违规向相关单位或者</w:t>
      </w:r>
      <w:r>
        <w:rPr>
          <w:spacing w:val="-11"/>
        </w:rPr>
        <w:t>有关人员以打招呼、写条子或暗示等方式提出要求，插手干预工程项目招标投标活动投诉处理、监管、执法活动的；</w:t>
      </w:r>
    </w:p>
    <w:p>
      <w:pPr>
        <w:pStyle w:val="3"/>
        <w:spacing w:before="3" w:line="364" w:lineRule="auto"/>
        <w:ind w:left="107" w:right="270" w:firstLine="639"/>
      </w:pPr>
      <w:r>
        <w:rPr>
          <w:spacing w:val="-1"/>
        </w:rPr>
        <w:t>（十八</w:t>
      </w:r>
      <w:r>
        <w:rPr>
          <w:spacing w:val="-118"/>
        </w:rPr>
        <w:t>）</w:t>
      </w:r>
      <w:r>
        <w:rPr>
          <w:spacing w:val="-1"/>
        </w:rPr>
        <w:t>要求有关部门对依法应当招标的工程建设项目不招标，或者依法应当公开招标的工程建设项目实行邀请招标的;</w:t>
      </w:r>
    </w:p>
    <w:p>
      <w:pPr>
        <w:pStyle w:val="3"/>
        <w:spacing w:before="1" w:line="364" w:lineRule="auto"/>
        <w:ind w:left="107" w:right="269" w:firstLine="639"/>
        <w:jc w:val="both"/>
      </w:pPr>
      <w:r>
        <w:rPr>
          <w:spacing w:val="-1"/>
        </w:rPr>
        <w:t>（十九</w:t>
      </w:r>
      <w:r>
        <w:rPr>
          <w:spacing w:val="-118"/>
        </w:rPr>
        <w:t>）</w:t>
      </w:r>
      <w:r>
        <w:rPr>
          <w:spacing w:val="-1"/>
        </w:rPr>
        <w:t>违规要求有关部门或者单位将依法必须进行招标的</w:t>
      </w:r>
      <w:r>
        <w:rPr>
          <w:spacing w:val="-10"/>
        </w:rPr>
        <w:t>工程建设项目化整为零，或者假借保密工程、抢险救灾等特殊工程的名义规避招标的。</w:t>
      </w:r>
    </w:p>
    <w:p>
      <w:pPr>
        <w:pStyle w:val="3"/>
        <w:spacing w:before="3"/>
        <w:ind w:left="747"/>
      </w:pPr>
      <w:r>
        <w:t>招标投标活动中，招标人、招标代理机构、投标人、评标专</w:t>
      </w:r>
    </w:p>
    <w:p>
      <w:pPr>
        <w:spacing w:after="0"/>
        <w:sectPr>
          <w:pgSz w:w="11910" w:h="16840"/>
          <w:pgMar w:top="1600" w:right="1200" w:bottom="1740" w:left="1480" w:header="0" w:footer="1543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2"/>
        </w:rPr>
      </w:pPr>
    </w:p>
    <w:p>
      <w:pPr>
        <w:pStyle w:val="3"/>
        <w:spacing w:before="55" w:line="364" w:lineRule="auto"/>
        <w:ind w:left="107" w:right="268"/>
        <w:jc w:val="both"/>
      </w:pPr>
      <w:r>
        <w:rPr>
          <w:spacing w:val="-11"/>
        </w:rPr>
        <w:t>家、行政监管部门不得泄露应当保密的信息，招标代理机构、投</w:t>
      </w:r>
      <w:r>
        <w:rPr>
          <w:spacing w:val="-13"/>
        </w:rPr>
        <w:t>标人、中标人不得向招标人、监理人员、行政监管人员等国家公</w:t>
      </w:r>
      <w:r>
        <w:rPr>
          <w:spacing w:val="-7"/>
        </w:rPr>
        <w:t>职人员和非国家工作人员行贿或非法输送利益，招标人、监理人</w:t>
      </w:r>
      <w:r>
        <w:rPr>
          <w:spacing w:val="-25"/>
        </w:rPr>
        <w:t>员、行政监管人员不得接受或变相接受招标代理机构、投标人</w:t>
      </w:r>
      <w:r>
        <w:t>（中标人）等钱物或非法利益。</w:t>
      </w:r>
    </w:p>
    <w:p>
      <w:pPr>
        <w:pStyle w:val="3"/>
        <w:spacing w:before="4" w:line="364" w:lineRule="auto"/>
        <w:ind w:left="107" w:right="269" w:firstLine="639"/>
        <w:jc w:val="both"/>
      </w:pPr>
      <w:r>
        <w:rPr>
          <w:spacing w:val="-8"/>
        </w:rPr>
        <w:t>招标投标活动中相关主体违反上述规定的，将依照相关法律</w:t>
      </w:r>
      <w:r>
        <w:rPr>
          <w:spacing w:val="-9"/>
        </w:rPr>
        <w:t>法规和纪律规定从严处理，涉嫌犯罪的，则依法移交司法机关处理。</w:t>
      </w:r>
    </w:p>
    <w:p>
      <w:pPr>
        <w:pStyle w:val="3"/>
        <w:spacing w:before="3" w:line="364" w:lineRule="auto"/>
        <w:ind w:left="107" w:right="109" w:firstLine="639"/>
      </w:pPr>
      <w:r>
        <w:rPr>
          <w:spacing w:val="-20"/>
        </w:rPr>
        <w:t>注：本严禁所指的行政监督部门包括发改、自然资源、住建、</w:t>
      </w:r>
      <w:r>
        <w:rPr>
          <w:spacing w:val="-14"/>
        </w:rPr>
        <w:t>交通、水利、农业农村等部门；项目单位的行政主管部门包括经</w:t>
      </w:r>
      <w:r>
        <w:rPr>
          <w:spacing w:val="-13"/>
        </w:rPr>
        <w:t>信、教育、民政、自然资源、住建、交通、水利、农业农村、文广旅、卫健、林业等部门；投标人（中标人）包括勘察、设计、施工、监理企业。</w:t>
      </w:r>
    </w:p>
    <w:p>
      <w:pPr>
        <w:spacing w:after="0" w:line="364" w:lineRule="auto"/>
        <w:sectPr>
          <w:pgSz w:w="11910" w:h="16840"/>
          <w:pgMar w:top="1600" w:right="1200" w:bottom="1740" w:left="1480" w:header="0" w:footer="1543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2"/>
        </w:rPr>
      </w:pPr>
    </w:p>
    <w:p>
      <w:pPr>
        <w:pStyle w:val="3"/>
        <w:spacing w:line="20" w:lineRule="exact"/>
        <w:ind w:left="72"/>
        <w:rPr>
          <w:sz w:val="2"/>
        </w:rPr>
      </w:pPr>
      <w:r>
        <w:rPr>
          <w:sz w:val="2"/>
        </w:rPr>
        <w:pict>
          <v:group id="_x0000_s1033" o:spid="_x0000_s1033" o:spt="203" style="height:0.5pt;width:445.2pt;" coordsize="8904,10">
            <o:lock v:ext="edit"/>
            <v:line id="_x0000_s1034" o:spid="_x0000_s1034" o:spt="20" style="position:absolute;left:0;top:5;height:0;width:8904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3"/>
        <w:spacing w:before="6"/>
        <w:rPr>
          <w:sz w:val="5"/>
        </w:rPr>
      </w:pPr>
    </w:p>
    <w:p>
      <w:pPr>
        <w:tabs>
          <w:tab w:val="left" w:pos="6128"/>
        </w:tabs>
        <w:spacing w:before="61"/>
        <w:ind w:left="387" w:right="0" w:firstLine="0"/>
        <w:jc w:val="left"/>
        <w:rPr>
          <w:sz w:val="28"/>
        </w:rPr>
      </w:pPr>
      <w:r>
        <w:pict>
          <v:line id="_x0000_s1035" o:spid="_x0000_s1035" o:spt="20" style="position:absolute;left:0pt;margin-left:77.85pt;margin-top:23.25pt;height:0pt;width:445.2pt;mso-position-horizontal-relative:page;mso-wrap-distance-bottom:0pt;mso-wrap-distance-top:0pt;z-index:-251654144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  <w10:wrap type="topAndBottom"/>
          </v:line>
        </w:pict>
      </w:r>
      <w:r>
        <w:rPr>
          <w:sz w:val="28"/>
        </w:rPr>
        <w:t>广元市建设项目招投标办公室</w:t>
      </w:r>
      <w:r>
        <w:rPr>
          <w:sz w:val="28"/>
        </w:rPr>
        <w:tab/>
      </w:r>
      <w:r>
        <w:rPr>
          <w:sz w:val="28"/>
        </w:rPr>
        <w:t>2021</w:t>
      </w:r>
      <w:r>
        <w:rPr>
          <w:spacing w:val="-72"/>
          <w:sz w:val="28"/>
        </w:rPr>
        <w:t xml:space="preserve"> </w:t>
      </w:r>
      <w:r>
        <w:rPr>
          <w:sz w:val="28"/>
        </w:rPr>
        <w:t>年</w:t>
      </w:r>
      <w:r>
        <w:rPr>
          <w:spacing w:val="-71"/>
          <w:sz w:val="28"/>
        </w:rPr>
        <w:t xml:space="preserve"> </w:t>
      </w:r>
      <w:r>
        <w:rPr>
          <w:sz w:val="28"/>
        </w:rPr>
        <w:t>3</w:t>
      </w:r>
      <w:r>
        <w:rPr>
          <w:spacing w:val="-70"/>
          <w:sz w:val="28"/>
        </w:rPr>
        <w:t xml:space="preserve"> </w:t>
      </w:r>
      <w:r>
        <w:rPr>
          <w:sz w:val="28"/>
        </w:rPr>
        <w:t>月</w:t>
      </w:r>
      <w:r>
        <w:rPr>
          <w:spacing w:val="-71"/>
          <w:sz w:val="28"/>
        </w:rPr>
        <w:t xml:space="preserve"> </w:t>
      </w:r>
      <w:r>
        <w:rPr>
          <w:sz w:val="28"/>
        </w:rPr>
        <w:t>29</w:t>
      </w:r>
      <w:r>
        <w:rPr>
          <w:spacing w:val="-70"/>
          <w:sz w:val="28"/>
        </w:rPr>
        <w:t xml:space="preserve"> </w:t>
      </w:r>
      <w:r>
        <w:rPr>
          <w:sz w:val="28"/>
        </w:rPr>
        <w:t>日印发</w:t>
      </w:r>
    </w:p>
    <w:sectPr>
      <w:pgSz w:w="11910" w:h="16840"/>
      <w:pgMar w:top="1600" w:right="1200" w:bottom="1740" w:left="1480" w:header="0" w:footer="15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85.5pt;margin-top:753.8pt;height:16pt;width:37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8.35pt;margin-top:753.8pt;height:16pt;width:37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0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C0E0D7A"/>
    <w:rsid w:val="0E4E05E1"/>
    <w:rsid w:val="17F92A0B"/>
    <w:rsid w:val="1BA02FA1"/>
    <w:rsid w:val="3C5713B0"/>
    <w:rsid w:val="5F5024DD"/>
    <w:rsid w:val="603B07DA"/>
    <w:rsid w:val="72916C3D"/>
    <w:rsid w:val="7D624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69" w:right="733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1034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2022-01-20T03:58:00Z</dcterms:created>
  <dc:creator>Administrator</dc:creator>
  <cp:lastModifiedBy>一念之间、</cp:lastModifiedBy>
  <dcterms:modified xsi:type="dcterms:W3CDTF">2022-01-26T02:09:30Z</dcterms:modified>
  <dc:title>&lt;4D6963726F736F667420576F7264202D20B9E3D5D0CDB6B1EAB0EC20A1BE32303231A1BF32BAC52020B9D8D3DAD3A1B7A2A1B6B9E3D4AACAD0B9A4B3CCBDA8C9E8CFEEC4BFD5D0B1EACDB6B1EACAAEBEC5D1CFBDFBB9E6B6A8B5C4CDA8D6AA2E646F63&gt;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2052-11.1.0.11194</vt:lpwstr>
  </property>
  <property fmtid="{D5CDD505-2E9C-101B-9397-08002B2CF9AE}" pid="6" name="ICV">
    <vt:lpwstr>9D17E378B08C4F58A78C3282B56F9E6E</vt:lpwstr>
  </property>
</Properties>
</file>