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widowControl/>
        <w:suppressLineNumbers w:val="0"/>
        <w:spacing w:line="360" w:lineRule="auto"/>
        <w:jc w:val="center"/>
        <w:rPr>
          <w:rFonts w:hint="default" w:ascii="Times New Roman" w:hAnsi="Times New Roman" w:eastAsia="宋体" w:cs="Times New Roman"/>
          <w:b/>
          <w:bCs/>
          <w:color w:val="auto"/>
          <w:kern w:val="0"/>
          <w:sz w:val="36"/>
          <w:szCs w:val="36"/>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36"/>
          <w:szCs w:val="36"/>
          <w:lang w:val="en-US" w:eastAsia="zh-CN"/>
        </w:rPr>
      </w:pPr>
      <w:r>
        <w:rPr>
          <w:rFonts w:hint="default" w:ascii="Times New Roman" w:hAnsi="Times New Roman" w:eastAsia="宋体" w:cs="Times New Roman"/>
          <w:b/>
          <w:bCs/>
          <w:color w:val="auto"/>
          <w:sz w:val="36"/>
          <w:szCs w:val="36"/>
        </w:rPr>
        <w:t>国家管网集团</w:t>
      </w:r>
      <w:r>
        <w:rPr>
          <w:rFonts w:hint="default" w:ascii="Times New Roman" w:hAnsi="Times New Roman" w:eastAsia="宋体" w:cs="Times New Roman"/>
          <w:b/>
          <w:bCs/>
          <w:color w:val="auto"/>
          <w:sz w:val="36"/>
          <w:szCs w:val="36"/>
          <w:lang w:val="zh-CN"/>
        </w:rPr>
        <w:t>西南管道有限责任公司兰成渝输油分公司</w:t>
      </w: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36"/>
          <w:szCs w:val="36"/>
          <w:lang w:val="en-US" w:eastAsia="zh-CN"/>
        </w:rPr>
      </w:pPr>
      <w:r>
        <w:rPr>
          <w:rFonts w:hint="default" w:ascii="Times New Roman" w:hAnsi="Times New Roman" w:eastAsia="宋体" w:cs="Times New Roman"/>
          <w:b/>
          <w:bCs/>
          <w:color w:val="auto"/>
          <w:sz w:val="36"/>
          <w:szCs w:val="36"/>
          <w:lang w:val="en-US" w:eastAsia="zh-CN"/>
        </w:rPr>
        <w:t>中贵线与元坝-普光管道联通工程</w:t>
      </w:r>
    </w:p>
    <w:p>
      <w:pPr>
        <w:pStyle w:val="4"/>
        <w:rPr>
          <w:rFonts w:hint="default" w:ascii="Times New Roman" w:hAnsi="Times New Roman" w:eastAsia="宋体" w:cs="Times New Roman"/>
          <w:b/>
          <w:bCs/>
          <w:color w:val="auto"/>
          <w:sz w:val="36"/>
          <w:szCs w:val="36"/>
          <w:lang w:val="en-US" w:eastAsia="zh-CN"/>
        </w:rPr>
      </w:pPr>
    </w:p>
    <w:p>
      <w:pPr>
        <w:rPr>
          <w:rFonts w:hint="default" w:ascii="Times New Roman" w:hAnsi="Times New Roman" w:eastAsia="宋体" w:cs="Times New Roman"/>
          <w:color w:val="auto"/>
          <w:lang w:val="en-US" w:eastAsia="zh-CN"/>
        </w:rPr>
      </w:pPr>
    </w:p>
    <w:p>
      <w:pPr>
        <w:pStyle w:val="4"/>
        <w:rPr>
          <w:rFonts w:hint="default" w:ascii="Times New Roman" w:hAnsi="Times New Roman" w:eastAsia="宋体" w:cs="Times New Roman"/>
          <w:color w:val="auto"/>
          <w:sz w:val="72"/>
          <w:szCs w:val="72"/>
          <w:lang w:val="en-US" w:eastAsia="zh-CN"/>
        </w:rPr>
      </w:pPr>
      <w:bookmarkStart w:id="0" w:name="_Toc22491"/>
      <w:bookmarkStart w:id="1" w:name="_Toc16773"/>
      <w:r>
        <w:rPr>
          <w:rFonts w:hint="default" w:ascii="Times New Roman" w:hAnsi="Times New Roman" w:eastAsia="宋体" w:cs="Times New Roman"/>
          <w:b/>
          <w:bCs/>
          <w:color w:val="auto"/>
          <w:sz w:val="72"/>
          <w:szCs w:val="72"/>
          <w:lang w:val="en-US" w:eastAsia="zh-CN"/>
        </w:rPr>
        <w:t>环境影响报告书</w:t>
      </w:r>
      <w:bookmarkEnd w:id="0"/>
      <w:bookmarkEnd w:id="1"/>
    </w:p>
    <w:p>
      <w:pPr>
        <w:spacing w:line="360" w:lineRule="auto"/>
        <w:jc w:val="center"/>
        <w:rPr>
          <w:rFonts w:hint="default" w:ascii="Times New Roman" w:hAnsi="Times New Roman" w:eastAsia="宋体" w:cs="Times New Roman"/>
          <w:color w:val="auto"/>
          <w:sz w:val="44"/>
          <w:szCs w:val="44"/>
          <w:lang w:val="en-US" w:eastAsia="zh-CN"/>
        </w:rPr>
      </w:pPr>
      <w:r>
        <w:rPr>
          <w:rFonts w:hint="default" w:ascii="Times New Roman" w:hAnsi="Times New Roman" w:eastAsia="宋体" w:cs="Times New Roman"/>
          <w:color w:val="auto"/>
          <w:sz w:val="44"/>
          <w:szCs w:val="44"/>
          <w:lang w:val="en-US" w:eastAsia="zh-CN"/>
        </w:rPr>
        <w:t>（</w:t>
      </w:r>
      <w:r>
        <w:rPr>
          <w:rFonts w:hint="eastAsia" w:ascii="Times New Roman" w:hAnsi="Times New Roman" w:cs="Times New Roman"/>
          <w:color w:val="auto"/>
          <w:sz w:val="44"/>
          <w:szCs w:val="44"/>
          <w:lang w:val="en-US" w:eastAsia="zh-CN"/>
        </w:rPr>
        <w:t>征求意见稿</w:t>
      </w:r>
      <w:r>
        <w:rPr>
          <w:rFonts w:hint="default" w:ascii="Times New Roman" w:hAnsi="Times New Roman" w:eastAsia="宋体" w:cs="Times New Roman"/>
          <w:color w:val="auto"/>
          <w:sz w:val="44"/>
          <w:szCs w:val="44"/>
          <w:lang w:val="en-US" w:eastAsia="zh-CN"/>
        </w:rPr>
        <w:t>）</w:t>
      </w:r>
    </w:p>
    <w:p>
      <w:pPr>
        <w:keepNext w:val="0"/>
        <w:keepLines w:val="0"/>
        <w:widowControl/>
        <w:suppressLineNumbers w:val="0"/>
        <w:jc w:val="left"/>
        <w:rPr>
          <w:rFonts w:hint="default" w:ascii="Times New Roman" w:hAnsi="Times New Roman" w:eastAsia="宋体" w:cs="Times New Roman"/>
          <w:color w:val="auto"/>
          <w:kern w:val="0"/>
          <w:sz w:val="31"/>
          <w:szCs w:val="31"/>
          <w:lang w:val="en-US" w:eastAsia="zh-CN" w:bidi="ar"/>
        </w:rPr>
      </w:pPr>
    </w:p>
    <w:p>
      <w:pPr>
        <w:keepNext w:val="0"/>
        <w:keepLines w:val="0"/>
        <w:widowControl/>
        <w:suppressLineNumbers w:val="0"/>
        <w:jc w:val="left"/>
        <w:rPr>
          <w:rFonts w:hint="default" w:ascii="Times New Roman" w:hAnsi="Times New Roman" w:eastAsia="宋体" w:cs="Times New Roman"/>
          <w:color w:val="auto"/>
          <w:kern w:val="0"/>
          <w:sz w:val="31"/>
          <w:szCs w:val="31"/>
          <w:lang w:val="en-US" w:eastAsia="zh-CN" w:bidi="ar"/>
        </w:rPr>
      </w:pPr>
    </w:p>
    <w:p>
      <w:pPr>
        <w:keepNext w:val="0"/>
        <w:keepLines w:val="0"/>
        <w:widowControl/>
        <w:suppressLineNumbers w:val="0"/>
        <w:jc w:val="center"/>
        <w:rPr>
          <w:rFonts w:hint="default" w:ascii="Times New Roman" w:hAnsi="Times New Roman" w:eastAsia="宋体" w:cs="Times New Roman"/>
          <w:color w:val="auto"/>
          <w:kern w:val="0"/>
          <w:sz w:val="31"/>
          <w:szCs w:val="31"/>
          <w:lang w:val="en-US" w:eastAsia="zh-CN" w:bidi="ar"/>
        </w:rPr>
      </w:pPr>
    </w:p>
    <w:p>
      <w:pPr>
        <w:keepNext w:val="0"/>
        <w:keepLines w:val="0"/>
        <w:widowControl/>
        <w:suppressLineNumbers w:val="0"/>
        <w:jc w:val="left"/>
        <w:rPr>
          <w:rFonts w:hint="default" w:ascii="Times New Roman" w:hAnsi="Times New Roman" w:eastAsia="宋体" w:cs="Times New Roman"/>
          <w:color w:val="auto"/>
          <w:kern w:val="0"/>
          <w:sz w:val="31"/>
          <w:szCs w:val="31"/>
          <w:lang w:val="en-US" w:eastAsia="zh-CN" w:bidi="ar"/>
        </w:rPr>
      </w:pPr>
    </w:p>
    <w:p>
      <w:pPr>
        <w:keepNext w:val="0"/>
        <w:keepLines w:val="0"/>
        <w:widowControl/>
        <w:suppressLineNumbers w:val="0"/>
        <w:jc w:val="center"/>
        <w:rPr>
          <w:rFonts w:hint="default" w:ascii="Times New Roman" w:hAnsi="Times New Roman" w:eastAsia="宋体" w:cs="Times New Roman"/>
          <w:color w:val="auto"/>
          <w:kern w:val="0"/>
          <w:sz w:val="31"/>
          <w:szCs w:val="31"/>
          <w:lang w:val="en-US" w:eastAsia="zh-CN" w:bidi="ar"/>
        </w:rPr>
      </w:pPr>
    </w:p>
    <w:p>
      <w:pPr>
        <w:keepNext w:val="0"/>
        <w:keepLines w:val="0"/>
        <w:widowControl/>
        <w:suppressLineNumbers w:val="0"/>
        <w:jc w:val="center"/>
        <w:rPr>
          <w:rFonts w:hint="default" w:ascii="Times New Roman" w:hAnsi="Times New Roman" w:eastAsia="宋体" w:cs="Times New Roman"/>
          <w:color w:val="auto"/>
          <w:kern w:val="0"/>
          <w:sz w:val="31"/>
          <w:szCs w:val="31"/>
          <w:lang w:val="en-US" w:eastAsia="zh-CN" w:bidi="ar"/>
        </w:rPr>
      </w:pPr>
    </w:p>
    <w:p>
      <w:pPr>
        <w:keepNext w:val="0"/>
        <w:keepLines w:val="0"/>
        <w:widowControl/>
        <w:suppressLineNumbers w:val="0"/>
        <w:jc w:val="center"/>
        <w:rPr>
          <w:rFonts w:hint="default" w:ascii="Times New Roman" w:hAnsi="Times New Roman" w:eastAsia="宋体" w:cs="Times New Roman"/>
          <w:color w:val="auto"/>
          <w:kern w:val="0"/>
          <w:sz w:val="31"/>
          <w:szCs w:val="31"/>
          <w:lang w:val="en-US" w:eastAsia="zh-CN" w:bidi="ar"/>
        </w:rPr>
      </w:pPr>
    </w:p>
    <w:p>
      <w:pPr>
        <w:keepNext w:val="0"/>
        <w:keepLines w:val="0"/>
        <w:widowControl/>
        <w:suppressLineNumbers w:val="0"/>
        <w:jc w:val="center"/>
        <w:rPr>
          <w:rFonts w:hint="default" w:ascii="Times New Roman" w:hAnsi="Times New Roman" w:eastAsia="宋体" w:cs="Times New Roman"/>
          <w:color w:val="auto"/>
          <w:kern w:val="0"/>
          <w:sz w:val="31"/>
          <w:szCs w:val="31"/>
          <w:lang w:val="en-US" w:eastAsia="zh-CN" w:bidi="ar"/>
        </w:rPr>
      </w:pPr>
    </w:p>
    <w:p>
      <w:pPr>
        <w:keepNext w:val="0"/>
        <w:keepLines w:val="0"/>
        <w:widowControl/>
        <w:suppressLineNumbers w:val="0"/>
        <w:spacing w:line="360" w:lineRule="auto"/>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31"/>
          <w:szCs w:val="31"/>
          <w:lang w:val="en-US" w:eastAsia="zh-CN" w:bidi="ar"/>
        </w:rPr>
        <w:t>建设单位：国家管网集团西南管道有限责任公司兰成渝输油分公司</w:t>
      </w:r>
    </w:p>
    <w:p>
      <w:pPr>
        <w:keepNext w:val="0"/>
        <w:keepLines w:val="0"/>
        <w:widowControl/>
        <w:suppressLineNumbers w:val="0"/>
        <w:spacing w:line="360" w:lineRule="auto"/>
        <w:jc w:val="both"/>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31"/>
          <w:szCs w:val="31"/>
          <w:lang w:val="en-US" w:eastAsia="zh-CN" w:bidi="ar"/>
        </w:rPr>
        <w:t>环评单位：四川鑫锦程工程咨询有限公司</w:t>
      </w:r>
    </w:p>
    <w:p>
      <w:pPr>
        <w:pStyle w:val="2"/>
        <w:rPr>
          <w:rFonts w:hint="default" w:ascii="Times New Roman" w:hAnsi="Times New Roman" w:eastAsia="宋体" w:cs="Times New Roman"/>
          <w:b/>
          <w:bCs/>
          <w:color w:val="auto"/>
          <w:kern w:val="0"/>
          <w:sz w:val="31"/>
          <w:szCs w:val="31"/>
          <w:lang w:val="en-US" w:eastAsia="zh-CN" w:bidi="ar"/>
        </w:rPr>
      </w:pPr>
    </w:p>
    <w:p>
      <w:pPr>
        <w:pStyle w:val="2"/>
        <w:rPr>
          <w:rFonts w:hint="default" w:ascii="Times New Roman" w:hAnsi="Times New Roman" w:eastAsia="宋体" w:cs="Times New Roman"/>
          <w:b/>
          <w:bCs/>
          <w:color w:val="auto"/>
          <w:kern w:val="0"/>
          <w:sz w:val="31"/>
          <w:szCs w:val="31"/>
          <w:lang w:val="en-US" w:eastAsia="zh-CN" w:bidi="ar"/>
        </w:rPr>
        <w:sectPr>
          <w:pgSz w:w="11906" w:h="16838"/>
          <w:pgMar w:top="1440" w:right="1803" w:bottom="1440" w:left="1803"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r>
        <w:rPr>
          <w:rFonts w:hint="default" w:ascii="Times New Roman" w:hAnsi="Times New Roman" w:eastAsia="宋体" w:cs="Times New Roman"/>
          <w:b/>
          <w:bCs/>
          <w:color w:val="auto"/>
          <w:kern w:val="0"/>
          <w:sz w:val="31"/>
          <w:szCs w:val="31"/>
          <w:lang w:val="en-US" w:eastAsia="zh-CN" w:bidi="ar"/>
        </w:rPr>
        <w:t>202</w:t>
      </w:r>
      <w:r>
        <w:rPr>
          <w:rFonts w:hint="eastAsia" w:cs="Times New Roman"/>
          <w:b/>
          <w:bCs/>
          <w:color w:val="auto"/>
          <w:kern w:val="0"/>
          <w:sz w:val="31"/>
          <w:szCs w:val="31"/>
          <w:lang w:val="en-US" w:eastAsia="zh-CN" w:bidi="ar"/>
        </w:rPr>
        <w:t>2</w:t>
      </w:r>
      <w:r>
        <w:rPr>
          <w:rFonts w:hint="default" w:ascii="Times New Roman" w:hAnsi="Times New Roman" w:eastAsia="宋体" w:cs="Times New Roman"/>
          <w:b/>
          <w:bCs/>
          <w:color w:val="auto"/>
          <w:kern w:val="0"/>
          <w:sz w:val="31"/>
          <w:szCs w:val="31"/>
          <w:lang w:val="en-US" w:eastAsia="zh-CN" w:bidi="ar"/>
        </w:rPr>
        <w:t>年</w:t>
      </w:r>
      <w:r>
        <w:rPr>
          <w:rFonts w:hint="default" w:ascii="Times New Roman" w:hAnsi="Times New Roman" w:cs="Times New Roman"/>
          <w:b/>
          <w:bCs/>
          <w:color w:val="auto"/>
          <w:kern w:val="0"/>
          <w:sz w:val="31"/>
          <w:szCs w:val="31"/>
          <w:lang w:val="en-US" w:eastAsia="zh-CN" w:bidi="ar"/>
        </w:rPr>
        <w:t>2</w:t>
      </w:r>
      <w:r>
        <w:rPr>
          <w:rFonts w:hint="default" w:ascii="Times New Roman" w:hAnsi="Times New Roman" w:eastAsia="宋体" w:cs="Times New Roman"/>
          <w:b/>
          <w:bCs/>
          <w:color w:val="auto"/>
          <w:kern w:val="0"/>
          <w:sz w:val="31"/>
          <w:szCs w:val="31"/>
          <w:lang w:val="en-US" w:eastAsia="zh-CN" w:bidi="ar"/>
        </w:rPr>
        <w:t>月</w:t>
      </w:r>
    </w:p>
    <w:sdt>
      <w:sdtPr>
        <w:rPr>
          <w:rFonts w:hint="default" w:ascii="Times New Roman" w:hAnsi="Times New Roman" w:eastAsia="宋体" w:cs="Times New Roman"/>
          <w:b/>
          <w:bCs/>
          <w:color w:val="auto"/>
          <w:kern w:val="2"/>
          <w:sz w:val="28"/>
          <w:szCs w:val="36"/>
          <w:lang w:val="en-US" w:eastAsia="zh-CN" w:bidi="ar-SA"/>
        </w:rPr>
        <w:id w:val="147462971"/>
        <w15:color w:val="DBDBDB"/>
        <w:docPartObj>
          <w:docPartGallery w:val="Table of Contents"/>
          <w:docPartUnique/>
        </w:docPartObj>
      </w:sdtPr>
      <w:sdtEndPr>
        <w:rPr>
          <w:rFonts w:hint="default" w:ascii="Times New Roman" w:hAnsi="Times New Roman" w:eastAsia="宋体" w:cs="Times New Roman"/>
          <w:b/>
          <w:bCs/>
          <w:color w:val="auto"/>
          <w:kern w:val="0"/>
          <w:sz w:val="24"/>
          <w:szCs w:val="31"/>
          <w:lang w:val="en-US" w:eastAsia="zh-CN" w:bidi="ar"/>
        </w:rPr>
      </w:sdtEndPr>
      <w:sdtContent>
        <w:p>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color w:val="auto"/>
              <w:sz w:val="36"/>
              <w:szCs w:val="36"/>
            </w:rPr>
          </w:pPr>
          <w:r>
            <w:rPr>
              <w:rFonts w:hint="default" w:ascii="Times New Roman" w:hAnsi="Times New Roman" w:eastAsia="宋体" w:cs="Times New Roman"/>
              <w:b/>
              <w:bCs/>
              <w:color w:val="auto"/>
              <w:sz w:val="28"/>
              <w:szCs w:val="36"/>
            </w:rPr>
            <w:t>目录</w:t>
          </w:r>
        </w:p>
        <w:p>
          <w:pPr>
            <w:pStyle w:val="18"/>
            <w:tabs>
              <w:tab w:val="right" w:leader="dot" w:pos="8300"/>
            </w:tabs>
            <w:rPr>
              <w:rFonts w:hint="default" w:ascii="Times New Roman" w:hAnsi="Times New Roman" w:cs="Times New Roman"/>
              <w:color w:val="auto"/>
            </w:rPr>
          </w:pPr>
          <w:r>
            <w:rPr>
              <w:rFonts w:hint="default" w:ascii="Times New Roman" w:hAnsi="Times New Roman" w:eastAsia="宋体" w:cs="Times New Roman"/>
              <w:b/>
              <w:bCs/>
              <w:color w:val="auto"/>
              <w:kern w:val="0"/>
              <w:sz w:val="24"/>
              <w:szCs w:val="24"/>
              <w:lang w:val="en-US" w:eastAsia="zh-CN" w:bidi="ar"/>
            </w:rPr>
            <w:fldChar w:fldCharType="begin"/>
          </w:r>
          <w:r>
            <w:rPr>
              <w:rFonts w:hint="default" w:ascii="Times New Roman" w:hAnsi="Times New Roman" w:eastAsia="宋体" w:cs="Times New Roman"/>
              <w:b/>
              <w:bCs/>
              <w:color w:val="auto"/>
              <w:kern w:val="0"/>
              <w:sz w:val="24"/>
              <w:szCs w:val="24"/>
              <w:lang w:val="en-US" w:eastAsia="zh-CN" w:bidi="ar"/>
            </w:rPr>
            <w:instrText xml:space="preserve">TOC \o "1-2" \h \u </w:instrText>
          </w:r>
          <w:r>
            <w:rPr>
              <w:rFonts w:hint="default" w:ascii="Times New Roman" w:hAnsi="Times New Roman" w:eastAsia="宋体" w:cs="Times New Roman"/>
              <w:b/>
              <w:bCs/>
              <w:color w:val="auto"/>
              <w:kern w:val="0"/>
              <w:sz w:val="24"/>
              <w:szCs w:val="24"/>
              <w:lang w:val="en-US" w:eastAsia="zh-CN" w:bidi="ar"/>
            </w:rPr>
            <w:fldChar w:fldCharType="separate"/>
          </w:r>
        </w:p>
        <w:p>
          <w:pPr>
            <w:pStyle w:val="18"/>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_Toc3190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szCs w:val="36"/>
            </w:rPr>
            <w:t>概述</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_Toc3190 \h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18"/>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_Toc27754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rPr>
            <w:t>第</w:t>
          </w:r>
          <w:r>
            <w:rPr>
              <w:rFonts w:hint="default" w:ascii="Times New Roman" w:hAnsi="Times New Roman" w:eastAsia="宋体" w:cs="Times New Roman"/>
              <w:color w:val="auto"/>
              <w:lang w:eastAsia="zh-CN"/>
            </w:rPr>
            <w:t>一</w:t>
          </w:r>
          <w:r>
            <w:rPr>
              <w:rFonts w:hint="default" w:ascii="Times New Roman" w:hAnsi="Times New Roman" w:eastAsia="宋体" w:cs="Times New Roman"/>
              <w:color w:val="auto"/>
            </w:rPr>
            <w:t>章  总则</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_Toc27754 \h </w:instrText>
          </w:r>
          <w:r>
            <w:rPr>
              <w:rFonts w:hint="default" w:ascii="Times New Roman" w:hAnsi="Times New Roman" w:cs="Times New Roman"/>
              <w:color w:val="auto"/>
            </w:rPr>
            <w:fldChar w:fldCharType="separate"/>
          </w:r>
          <w:r>
            <w:rPr>
              <w:rFonts w:hint="default" w:ascii="Times New Roman" w:hAnsi="Times New Roman" w:cs="Times New Roman"/>
              <w:color w:val="auto"/>
            </w:rPr>
            <w:t>21</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_Toc7461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.1编制依据</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_Toc7461 \h </w:instrText>
          </w:r>
          <w:r>
            <w:rPr>
              <w:rFonts w:hint="default" w:ascii="Times New Roman" w:hAnsi="Times New Roman" w:cs="Times New Roman"/>
              <w:color w:val="auto"/>
            </w:rPr>
            <w:fldChar w:fldCharType="separate"/>
          </w:r>
          <w:r>
            <w:rPr>
              <w:rFonts w:hint="default" w:ascii="Times New Roman" w:hAnsi="Times New Roman" w:cs="Times New Roman"/>
              <w:color w:val="auto"/>
            </w:rPr>
            <w:t>21</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_Toc8284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1.2评价目的及原则</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_Toc8284 \h </w:instrText>
          </w:r>
          <w:r>
            <w:rPr>
              <w:rFonts w:hint="default" w:ascii="Times New Roman" w:hAnsi="Times New Roman" w:cs="Times New Roman"/>
              <w:color w:val="auto"/>
            </w:rPr>
            <w:fldChar w:fldCharType="separate"/>
          </w:r>
          <w:r>
            <w:rPr>
              <w:rFonts w:hint="default" w:ascii="Times New Roman" w:hAnsi="Times New Roman" w:cs="Times New Roman"/>
              <w:color w:val="auto"/>
            </w:rPr>
            <w:t>25</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_Toc241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1.3 评价方法与时段</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_Toc241 \h </w:instrText>
          </w:r>
          <w:r>
            <w:rPr>
              <w:rFonts w:hint="default" w:ascii="Times New Roman" w:hAnsi="Times New Roman" w:cs="Times New Roman"/>
              <w:color w:val="auto"/>
            </w:rPr>
            <w:fldChar w:fldCharType="separate"/>
          </w:r>
          <w:r>
            <w:rPr>
              <w:rFonts w:hint="default" w:ascii="Times New Roman" w:hAnsi="Times New Roman" w:cs="Times New Roman"/>
              <w:color w:val="auto"/>
            </w:rPr>
            <w:t>26</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_Toc24889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1.4评价因子</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_Toc24889 \h </w:instrText>
          </w:r>
          <w:r>
            <w:rPr>
              <w:rFonts w:hint="default" w:ascii="Times New Roman" w:hAnsi="Times New Roman" w:cs="Times New Roman"/>
              <w:color w:val="auto"/>
            </w:rPr>
            <w:fldChar w:fldCharType="separate"/>
          </w:r>
          <w:r>
            <w:rPr>
              <w:rFonts w:hint="default" w:ascii="Times New Roman" w:hAnsi="Times New Roman" w:cs="Times New Roman"/>
              <w:color w:val="auto"/>
            </w:rPr>
            <w:t>27</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_Toc14397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1.5 评价标准</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_Toc14397 \h </w:instrText>
          </w:r>
          <w:r>
            <w:rPr>
              <w:rFonts w:hint="default" w:ascii="Times New Roman" w:hAnsi="Times New Roman" w:cs="Times New Roman"/>
              <w:color w:val="auto"/>
            </w:rPr>
            <w:fldChar w:fldCharType="separate"/>
          </w:r>
          <w:r>
            <w:rPr>
              <w:rFonts w:hint="default" w:ascii="Times New Roman" w:hAnsi="Times New Roman" w:cs="Times New Roman"/>
              <w:color w:val="auto"/>
            </w:rPr>
            <w:t>30</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_Toc4556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1.6 评价等级、评价范围</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_Toc4556 \h </w:instrText>
          </w:r>
          <w:r>
            <w:rPr>
              <w:rFonts w:hint="default" w:ascii="Times New Roman" w:hAnsi="Times New Roman" w:cs="Times New Roman"/>
              <w:color w:val="auto"/>
            </w:rPr>
            <w:fldChar w:fldCharType="separate"/>
          </w:r>
          <w:r>
            <w:rPr>
              <w:rFonts w:hint="default" w:ascii="Times New Roman" w:hAnsi="Times New Roman" w:cs="Times New Roman"/>
              <w:color w:val="auto"/>
            </w:rPr>
            <w:t>35</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_Toc22200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1.7 评价内容和评价重点</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_Toc22200 \h </w:instrText>
          </w:r>
          <w:r>
            <w:rPr>
              <w:rFonts w:hint="default" w:ascii="Times New Roman" w:hAnsi="Times New Roman" w:cs="Times New Roman"/>
              <w:color w:val="auto"/>
            </w:rPr>
            <w:fldChar w:fldCharType="separate"/>
          </w:r>
          <w:r>
            <w:rPr>
              <w:rFonts w:hint="default" w:ascii="Times New Roman" w:hAnsi="Times New Roman" w:cs="Times New Roman"/>
              <w:color w:val="auto"/>
            </w:rPr>
            <w:t>41</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_Toc2774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1.8 环境敏感保护目标</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_Toc2774 \h </w:instrText>
          </w:r>
          <w:r>
            <w:rPr>
              <w:rFonts w:hint="default" w:ascii="Times New Roman" w:hAnsi="Times New Roman" w:cs="Times New Roman"/>
              <w:color w:val="auto"/>
            </w:rPr>
            <w:fldChar w:fldCharType="separate"/>
          </w:r>
          <w:r>
            <w:rPr>
              <w:rFonts w:hint="default" w:ascii="Times New Roman" w:hAnsi="Times New Roman" w:cs="Times New Roman"/>
              <w:color w:val="auto"/>
            </w:rPr>
            <w:t>42</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_Toc16073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1.9主要外环境关系及环境保护目标</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_Toc16073 \h </w:instrText>
          </w:r>
          <w:r>
            <w:rPr>
              <w:rFonts w:hint="default" w:ascii="Times New Roman" w:hAnsi="Times New Roman" w:cs="Times New Roman"/>
              <w:color w:val="auto"/>
            </w:rPr>
            <w:fldChar w:fldCharType="separate"/>
          </w:r>
          <w:r>
            <w:rPr>
              <w:rFonts w:hint="default" w:ascii="Times New Roman" w:hAnsi="Times New Roman" w:cs="Times New Roman"/>
              <w:color w:val="auto"/>
            </w:rPr>
            <w:t>42</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18"/>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_Toc26430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eastAsia="zh-CN"/>
            </w:rPr>
            <w:t>第二章</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 xml:space="preserve"> </w:t>
          </w:r>
          <w:r>
            <w:rPr>
              <w:rFonts w:hint="default" w:ascii="Times New Roman" w:hAnsi="Times New Roman" w:eastAsia="宋体" w:cs="Times New Roman"/>
              <w:color w:val="auto"/>
              <w:lang w:eastAsia="zh-CN"/>
            </w:rPr>
            <w:t>建设</w:t>
          </w:r>
          <w:r>
            <w:rPr>
              <w:rFonts w:hint="default" w:ascii="Times New Roman" w:hAnsi="Times New Roman" w:eastAsia="宋体" w:cs="Times New Roman"/>
              <w:color w:val="auto"/>
            </w:rPr>
            <w:t>项目概况</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_Toc26430 \h </w:instrText>
          </w:r>
          <w:r>
            <w:rPr>
              <w:rFonts w:hint="default" w:ascii="Times New Roman" w:hAnsi="Times New Roman" w:cs="Times New Roman"/>
              <w:color w:val="auto"/>
            </w:rPr>
            <w:fldChar w:fldCharType="separate"/>
          </w:r>
          <w:r>
            <w:rPr>
              <w:rFonts w:hint="default" w:ascii="Times New Roman" w:hAnsi="Times New Roman" w:cs="Times New Roman"/>
              <w:color w:val="auto"/>
            </w:rPr>
            <w:t>70</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_Toc16741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.1建设项目工程概况</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_Toc16741 \h </w:instrText>
          </w:r>
          <w:r>
            <w:rPr>
              <w:rFonts w:hint="default" w:ascii="Times New Roman" w:hAnsi="Times New Roman" w:cs="Times New Roman"/>
              <w:color w:val="auto"/>
            </w:rPr>
            <w:fldChar w:fldCharType="separate"/>
          </w:r>
          <w:r>
            <w:rPr>
              <w:rFonts w:hint="default" w:ascii="Times New Roman" w:hAnsi="Times New Roman" w:cs="Times New Roman"/>
              <w:color w:val="auto"/>
            </w:rPr>
            <w:t>70</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_Toc5896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2.2 输气工艺与物性</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_Toc5896 \h </w:instrText>
          </w:r>
          <w:r>
            <w:rPr>
              <w:rFonts w:hint="default" w:ascii="Times New Roman" w:hAnsi="Times New Roman" w:cs="Times New Roman"/>
              <w:color w:val="auto"/>
            </w:rPr>
            <w:fldChar w:fldCharType="separate"/>
          </w:r>
          <w:r>
            <w:rPr>
              <w:rFonts w:hint="default" w:ascii="Times New Roman" w:hAnsi="Times New Roman" w:cs="Times New Roman"/>
              <w:color w:val="auto"/>
            </w:rPr>
            <w:t>76</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_Toc3528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2.3 线路工程</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_Toc3528 \h </w:instrText>
          </w:r>
          <w:r>
            <w:rPr>
              <w:rFonts w:hint="default" w:ascii="Times New Roman" w:hAnsi="Times New Roman" w:cs="Times New Roman"/>
              <w:color w:val="auto"/>
            </w:rPr>
            <w:fldChar w:fldCharType="separate"/>
          </w:r>
          <w:r>
            <w:rPr>
              <w:rFonts w:hint="default" w:ascii="Times New Roman" w:hAnsi="Times New Roman" w:cs="Times New Roman"/>
              <w:color w:val="auto"/>
            </w:rPr>
            <w:t>77</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_Toc5825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2.4 穿越工程</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_Toc5825 \h </w:instrText>
          </w:r>
          <w:r>
            <w:rPr>
              <w:rFonts w:hint="default" w:ascii="Times New Roman" w:hAnsi="Times New Roman" w:cs="Times New Roman"/>
              <w:color w:val="auto"/>
            </w:rPr>
            <w:fldChar w:fldCharType="separate"/>
          </w:r>
          <w:r>
            <w:rPr>
              <w:rFonts w:hint="default" w:ascii="Times New Roman" w:hAnsi="Times New Roman" w:cs="Times New Roman"/>
              <w:color w:val="auto"/>
            </w:rPr>
            <w:t>81</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_Toc30616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2.5 线路附属设施</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_Toc30616 \h </w:instrText>
          </w:r>
          <w:r>
            <w:rPr>
              <w:rFonts w:hint="default" w:ascii="Times New Roman" w:hAnsi="Times New Roman" w:cs="Times New Roman"/>
              <w:color w:val="auto"/>
            </w:rPr>
            <w:fldChar w:fldCharType="separate"/>
          </w:r>
          <w:r>
            <w:rPr>
              <w:rFonts w:hint="default" w:ascii="Times New Roman" w:hAnsi="Times New Roman" w:cs="Times New Roman"/>
              <w:color w:val="auto"/>
            </w:rPr>
            <w:t>82</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_Toc22397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2.6 输气站场</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_Toc22397 \h </w:instrText>
          </w:r>
          <w:r>
            <w:rPr>
              <w:rFonts w:hint="default" w:ascii="Times New Roman" w:hAnsi="Times New Roman" w:cs="Times New Roman"/>
              <w:color w:val="auto"/>
            </w:rPr>
            <w:fldChar w:fldCharType="separate"/>
          </w:r>
          <w:r>
            <w:rPr>
              <w:rFonts w:hint="default" w:ascii="Times New Roman" w:hAnsi="Times New Roman" w:cs="Times New Roman"/>
              <w:color w:val="auto"/>
            </w:rPr>
            <w:t>86</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_Toc3965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szCs w:val="28"/>
              <w:lang w:val="en-US" w:eastAsia="zh-CN"/>
            </w:rPr>
            <w:t>2.6.1站场设置</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_Toc3965 \h </w:instrText>
          </w:r>
          <w:r>
            <w:rPr>
              <w:rFonts w:hint="default" w:ascii="Times New Roman" w:hAnsi="Times New Roman" w:cs="Times New Roman"/>
              <w:color w:val="auto"/>
            </w:rPr>
            <w:fldChar w:fldCharType="separate"/>
          </w:r>
          <w:r>
            <w:rPr>
              <w:rFonts w:hint="default" w:ascii="Times New Roman" w:hAnsi="Times New Roman" w:cs="Times New Roman"/>
              <w:color w:val="auto"/>
            </w:rPr>
            <w:t>86</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_Toc929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szCs w:val="28"/>
              <w:lang w:val="en-US" w:eastAsia="zh-CN"/>
            </w:rPr>
            <w:t>表2.6-1站场设置一览表</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_Toc929 \h </w:instrText>
          </w:r>
          <w:r>
            <w:rPr>
              <w:rFonts w:hint="default" w:ascii="Times New Roman" w:hAnsi="Times New Roman" w:cs="Times New Roman"/>
              <w:color w:val="auto"/>
            </w:rPr>
            <w:fldChar w:fldCharType="separate"/>
          </w:r>
          <w:r>
            <w:rPr>
              <w:rFonts w:hint="default" w:ascii="Times New Roman" w:hAnsi="Times New Roman" w:cs="Times New Roman"/>
              <w:color w:val="auto"/>
            </w:rPr>
            <w:t>86</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_Toc10556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szCs w:val="28"/>
              <w:lang w:val="en-US" w:eastAsia="zh-CN"/>
            </w:rPr>
            <w:t>2.6.2 站场工艺</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_Toc10556 \h </w:instrText>
          </w:r>
          <w:r>
            <w:rPr>
              <w:rFonts w:hint="default" w:ascii="Times New Roman" w:hAnsi="Times New Roman" w:cs="Times New Roman"/>
              <w:color w:val="auto"/>
            </w:rPr>
            <w:fldChar w:fldCharType="separate"/>
          </w:r>
          <w:r>
            <w:rPr>
              <w:rFonts w:hint="default" w:ascii="Times New Roman" w:hAnsi="Times New Roman" w:cs="Times New Roman"/>
              <w:color w:val="auto"/>
            </w:rPr>
            <w:t>86</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_Toc28421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szCs w:val="28"/>
              <w:lang w:val="en-US" w:eastAsia="zh-CN"/>
            </w:rPr>
            <w:t>2.6-2站场主要设备表</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_Toc28421 \h </w:instrText>
          </w:r>
          <w:r>
            <w:rPr>
              <w:rFonts w:hint="default" w:ascii="Times New Roman" w:hAnsi="Times New Roman" w:cs="Times New Roman"/>
              <w:color w:val="auto"/>
            </w:rPr>
            <w:fldChar w:fldCharType="separate"/>
          </w:r>
          <w:r>
            <w:rPr>
              <w:rFonts w:hint="default" w:ascii="Times New Roman" w:hAnsi="Times New Roman" w:cs="Times New Roman"/>
              <w:color w:val="auto"/>
            </w:rPr>
            <w:t>90</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_Toc974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2.7公用工程</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_Toc974 \h </w:instrText>
          </w:r>
          <w:r>
            <w:rPr>
              <w:rFonts w:hint="default" w:ascii="Times New Roman" w:hAnsi="Times New Roman" w:cs="Times New Roman"/>
              <w:color w:val="auto"/>
            </w:rPr>
            <w:fldChar w:fldCharType="separate"/>
          </w:r>
          <w:r>
            <w:rPr>
              <w:rFonts w:hint="default" w:ascii="Times New Roman" w:hAnsi="Times New Roman" w:cs="Times New Roman"/>
              <w:color w:val="auto"/>
            </w:rPr>
            <w:t>91</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_Toc13627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2.8辅助工程</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_Toc13627 \h </w:instrText>
          </w:r>
          <w:r>
            <w:rPr>
              <w:rFonts w:hint="default" w:ascii="Times New Roman" w:hAnsi="Times New Roman" w:cs="Times New Roman"/>
              <w:color w:val="auto"/>
            </w:rPr>
            <w:fldChar w:fldCharType="separate"/>
          </w:r>
          <w:r>
            <w:rPr>
              <w:rFonts w:hint="default" w:ascii="Times New Roman" w:hAnsi="Times New Roman" w:cs="Times New Roman"/>
              <w:color w:val="auto"/>
            </w:rPr>
            <w:t>95</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18"/>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_Toc11020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第三章 工程分析</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_Toc11020 \h </w:instrText>
          </w:r>
          <w:r>
            <w:rPr>
              <w:rFonts w:hint="default" w:ascii="Times New Roman" w:hAnsi="Times New Roman" w:cs="Times New Roman"/>
              <w:color w:val="auto"/>
            </w:rPr>
            <w:fldChar w:fldCharType="separate"/>
          </w:r>
          <w:r>
            <w:rPr>
              <w:rFonts w:hint="default" w:ascii="Times New Roman" w:hAnsi="Times New Roman" w:cs="Times New Roman"/>
              <w:color w:val="auto"/>
            </w:rPr>
            <w:t>98</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18"/>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_Toc24318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第四章 环境现状调查与评价</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_Toc24318 \h </w:instrText>
          </w:r>
          <w:r>
            <w:rPr>
              <w:rFonts w:hint="default" w:ascii="Times New Roman" w:hAnsi="Times New Roman" w:cs="Times New Roman"/>
              <w:color w:val="auto"/>
            </w:rPr>
            <w:fldChar w:fldCharType="separate"/>
          </w:r>
          <w:r>
            <w:rPr>
              <w:rFonts w:hint="default" w:ascii="Times New Roman" w:hAnsi="Times New Roman" w:cs="Times New Roman"/>
              <w:color w:val="auto"/>
            </w:rPr>
            <w:t>130</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_Toc10218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4.1自然环境概况</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_Toc10218 \h </w:instrText>
          </w:r>
          <w:r>
            <w:rPr>
              <w:rFonts w:hint="default" w:ascii="Times New Roman" w:hAnsi="Times New Roman" w:cs="Times New Roman"/>
              <w:color w:val="auto"/>
            </w:rPr>
            <w:fldChar w:fldCharType="separate"/>
          </w:r>
          <w:r>
            <w:rPr>
              <w:rFonts w:hint="default" w:ascii="Times New Roman" w:hAnsi="Times New Roman" w:cs="Times New Roman"/>
              <w:color w:val="auto"/>
            </w:rPr>
            <w:t>130</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_Toc28687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highlight w:val="none"/>
              <w:lang w:val="en-US" w:eastAsia="zh-CN"/>
            </w:rPr>
            <w:t>4.2</w:t>
          </w:r>
          <w:r>
            <w:rPr>
              <w:rFonts w:hint="default" w:ascii="Times New Roman" w:hAnsi="Times New Roman" w:eastAsia="宋体" w:cs="Times New Roman"/>
              <w:color w:val="auto"/>
              <w:highlight w:val="none"/>
            </w:rPr>
            <w:t>环境质量现状调查与评价</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_Toc28687 \h </w:instrText>
          </w:r>
          <w:r>
            <w:rPr>
              <w:rFonts w:hint="default" w:ascii="Times New Roman" w:hAnsi="Times New Roman" w:cs="Times New Roman"/>
              <w:color w:val="auto"/>
            </w:rPr>
            <w:fldChar w:fldCharType="separate"/>
          </w:r>
          <w:r>
            <w:rPr>
              <w:rFonts w:hint="default" w:ascii="Times New Roman" w:hAnsi="Times New Roman" w:cs="Times New Roman"/>
              <w:color w:val="auto"/>
            </w:rPr>
            <w:t>136</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18"/>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_Toc31573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第五章  环境影响预测与评价</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_Toc31573 \h </w:instrText>
          </w:r>
          <w:r>
            <w:rPr>
              <w:rFonts w:hint="default" w:ascii="Times New Roman" w:hAnsi="Times New Roman" w:cs="Times New Roman"/>
              <w:color w:val="auto"/>
            </w:rPr>
            <w:fldChar w:fldCharType="separate"/>
          </w:r>
          <w:r>
            <w:rPr>
              <w:rFonts w:hint="default" w:ascii="Times New Roman" w:hAnsi="Times New Roman" w:cs="Times New Roman"/>
              <w:color w:val="auto"/>
            </w:rPr>
            <w:t>143</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_Toc2319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highlight w:val="none"/>
              <w:lang w:val="en-US" w:eastAsia="zh-CN"/>
            </w:rPr>
            <w:t>5.1生态环境影响评价</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_Toc2319 \h </w:instrText>
          </w:r>
          <w:r>
            <w:rPr>
              <w:rFonts w:hint="default" w:ascii="Times New Roman" w:hAnsi="Times New Roman" w:cs="Times New Roman"/>
              <w:color w:val="auto"/>
            </w:rPr>
            <w:fldChar w:fldCharType="separate"/>
          </w:r>
          <w:r>
            <w:rPr>
              <w:rFonts w:hint="default" w:ascii="Times New Roman" w:hAnsi="Times New Roman" w:cs="Times New Roman"/>
              <w:color w:val="auto"/>
            </w:rPr>
            <w:t>143</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18"/>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_Toc302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 xml:space="preserve">第六章 </w:t>
          </w:r>
          <w:r>
            <w:rPr>
              <w:rFonts w:hint="default" w:ascii="Times New Roman" w:hAnsi="Times New Roman" w:cs="Times New Roman"/>
              <w:color w:val="auto"/>
              <w:lang w:val="en-US" w:eastAsia="zh-CN"/>
            </w:rPr>
            <w:t>环境保护措施可行性及建议</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_Toc302 \h </w:instrText>
          </w:r>
          <w:r>
            <w:rPr>
              <w:rFonts w:hint="default" w:ascii="Times New Roman" w:hAnsi="Times New Roman" w:cs="Times New Roman"/>
              <w:color w:val="auto"/>
            </w:rPr>
            <w:fldChar w:fldCharType="separate"/>
          </w:r>
          <w:r>
            <w:rPr>
              <w:rFonts w:hint="default" w:ascii="Times New Roman" w:hAnsi="Times New Roman" w:cs="Times New Roman"/>
              <w:color w:val="auto"/>
            </w:rPr>
            <w:t>202</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18"/>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_Toc25879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第七章 环境影响经济损益分析</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_Toc25879 \h </w:instrText>
          </w:r>
          <w:r>
            <w:rPr>
              <w:rFonts w:hint="default" w:ascii="Times New Roman" w:hAnsi="Times New Roman" w:cs="Times New Roman"/>
              <w:color w:val="auto"/>
            </w:rPr>
            <w:fldChar w:fldCharType="separate"/>
          </w:r>
          <w:r>
            <w:rPr>
              <w:rFonts w:hint="default" w:ascii="Times New Roman" w:hAnsi="Times New Roman" w:cs="Times New Roman"/>
              <w:color w:val="auto"/>
            </w:rPr>
            <w:t>224</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18"/>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_Toc1021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第</w:t>
          </w:r>
          <w:r>
            <w:rPr>
              <w:rFonts w:hint="default" w:ascii="Times New Roman" w:hAnsi="Times New Roman" w:cs="Times New Roman"/>
              <w:color w:val="auto"/>
              <w:lang w:val="en-US" w:eastAsia="zh-CN"/>
            </w:rPr>
            <w:t>八</w:t>
          </w:r>
          <w:r>
            <w:rPr>
              <w:rFonts w:hint="default" w:ascii="Times New Roman" w:hAnsi="Times New Roman" w:eastAsia="宋体" w:cs="Times New Roman"/>
              <w:color w:val="auto"/>
              <w:lang w:val="en-US" w:eastAsia="zh-CN"/>
            </w:rPr>
            <w:t>章  环境管理与监测计划</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_Toc1021 \h </w:instrText>
          </w:r>
          <w:r>
            <w:rPr>
              <w:rFonts w:hint="default" w:ascii="Times New Roman" w:hAnsi="Times New Roman" w:cs="Times New Roman"/>
              <w:color w:val="auto"/>
            </w:rPr>
            <w:fldChar w:fldCharType="separate"/>
          </w:r>
          <w:r>
            <w:rPr>
              <w:rFonts w:hint="default" w:ascii="Times New Roman" w:hAnsi="Times New Roman" w:cs="Times New Roman"/>
              <w:color w:val="auto"/>
            </w:rPr>
            <w:t>226</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_Toc31002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cs="Times New Roman"/>
              <w:color w:val="auto"/>
              <w:lang w:val="en-US" w:eastAsia="zh-CN"/>
            </w:rPr>
            <w:t>8.1</w:t>
          </w:r>
          <w:r>
            <w:rPr>
              <w:rFonts w:hint="default" w:ascii="Times New Roman" w:hAnsi="Times New Roman" w:cs="Times New Roman"/>
              <w:color w:val="auto"/>
            </w:rPr>
            <w:t>环境管理</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_Toc31002 \h </w:instrText>
          </w:r>
          <w:r>
            <w:rPr>
              <w:rFonts w:hint="default" w:ascii="Times New Roman" w:hAnsi="Times New Roman" w:cs="Times New Roman"/>
              <w:color w:val="auto"/>
            </w:rPr>
            <w:fldChar w:fldCharType="separate"/>
          </w:r>
          <w:r>
            <w:rPr>
              <w:rFonts w:hint="default" w:ascii="Times New Roman" w:hAnsi="Times New Roman" w:cs="Times New Roman"/>
              <w:color w:val="auto"/>
            </w:rPr>
            <w:t>226</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_Toc20298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cs="Times New Roman"/>
              <w:color w:val="auto"/>
              <w:lang w:val="en-US" w:eastAsia="zh-CN"/>
            </w:rPr>
            <w:t>8.2 环境管理的必要性</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_Toc20298 \h </w:instrText>
          </w:r>
          <w:r>
            <w:rPr>
              <w:rFonts w:hint="default" w:ascii="Times New Roman" w:hAnsi="Times New Roman" w:cs="Times New Roman"/>
              <w:color w:val="auto"/>
            </w:rPr>
            <w:fldChar w:fldCharType="separate"/>
          </w:r>
          <w:r>
            <w:rPr>
              <w:rFonts w:hint="default" w:ascii="Times New Roman" w:hAnsi="Times New Roman" w:cs="Times New Roman"/>
              <w:color w:val="auto"/>
            </w:rPr>
            <w:t>226</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_Toc27480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cs="Times New Roman"/>
              <w:color w:val="auto"/>
              <w:lang w:val="en-US" w:eastAsia="zh-CN"/>
            </w:rPr>
            <w:t>8.3环境管理体系</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_Toc27480 \h </w:instrText>
          </w:r>
          <w:r>
            <w:rPr>
              <w:rFonts w:hint="default" w:ascii="Times New Roman" w:hAnsi="Times New Roman" w:cs="Times New Roman"/>
              <w:color w:val="auto"/>
            </w:rPr>
            <w:fldChar w:fldCharType="separate"/>
          </w:r>
          <w:r>
            <w:rPr>
              <w:rFonts w:hint="default" w:ascii="Times New Roman" w:hAnsi="Times New Roman" w:cs="Times New Roman"/>
              <w:color w:val="auto"/>
            </w:rPr>
            <w:t>227</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_Toc15812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cs="Times New Roman"/>
              <w:color w:val="auto"/>
              <w:lang w:val="en-US" w:eastAsia="zh-CN"/>
            </w:rPr>
            <w:t>8.4 施工期环境管理</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_Toc15812 \h </w:instrText>
          </w:r>
          <w:r>
            <w:rPr>
              <w:rFonts w:hint="default" w:ascii="Times New Roman" w:hAnsi="Times New Roman" w:cs="Times New Roman"/>
              <w:color w:val="auto"/>
            </w:rPr>
            <w:fldChar w:fldCharType="separate"/>
          </w:r>
          <w:r>
            <w:rPr>
              <w:rFonts w:hint="default" w:ascii="Times New Roman" w:hAnsi="Times New Roman" w:cs="Times New Roman"/>
              <w:color w:val="auto"/>
            </w:rPr>
            <w:t>227</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_Toc2923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cs="Times New Roman"/>
              <w:color w:val="auto"/>
              <w:lang w:val="en-US" w:eastAsia="zh-CN"/>
            </w:rPr>
            <w:t>8.5 环境管理机构设置及职能</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_Toc2923 \h </w:instrText>
          </w:r>
          <w:r>
            <w:rPr>
              <w:rFonts w:hint="default" w:ascii="Times New Roman" w:hAnsi="Times New Roman" w:cs="Times New Roman"/>
              <w:color w:val="auto"/>
            </w:rPr>
            <w:fldChar w:fldCharType="separate"/>
          </w:r>
          <w:r>
            <w:rPr>
              <w:rFonts w:hint="default" w:ascii="Times New Roman" w:hAnsi="Times New Roman" w:cs="Times New Roman"/>
              <w:color w:val="auto"/>
            </w:rPr>
            <w:t>228</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_Toc27039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cs="Times New Roman"/>
              <w:color w:val="auto"/>
              <w:lang w:val="en-US" w:eastAsia="zh-CN"/>
            </w:rPr>
            <w:t>8.6 环境管理规章制度</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_Toc27039 \h </w:instrText>
          </w:r>
          <w:r>
            <w:rPr>
              <w:rFonts w:hint="default" w:ascii="Times New Roman" w:hAnsi="Times New Roman" w:cs="Times New Roman"/>
              <w:color w:val="auto"/>
            </w:rPr>
            <w:fldChar w:fldCharType="separate"/>
          </w:r>
          <w:r>
            <w:rPr>
              <w:rFonts w:hint="default" w:ascii="Times New Roman" w:hAnsi="Times New Roman" w:cs="Times New Roman"/>
              <w:color w:val="auto"/>
            </w:rPr>
            <w:t>229</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_Toc30646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cs="Times New Roman"/>
              <w:color w:val="auto"/>
              <w:lang w:val="en-US" w:eastAsia="zh-CN"/>
            </w:rPr>
            <w:t>8.7 环境管理内容</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_Toc30646 \h </w:instrText>
          </w:r>
          <w:r>
            <w:rPr>
              <w:rFonts w:hint="default" w:ascii="Times New Roman" w:hAnsi="Times New Roman" w:cs="Times New Roman"/>
              <w:color w:val="auto"/>
            </w:rPr>
            <w:fldChar w:fldCharType="separate"/>
          </w:r>
          <w:r>
            <w:rPr>
              <w:rFonts w:hint="default" w:ascii="Times New Roman" w:hAnsi="Times New Roman" w:cs="Times New Roman"/>
              <w:color w:val="auto"/>
            </w:rPr>
            <w:t>229</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_Toc6346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cs="Times New Roman"/>
              <w:color w:val="auto"/>
              <w:lang w:val="en-US" w:eastAsia="zh-CN"/>
            </w:rPr>
            <w:t>8.8环境监测</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_Toc6346 \h </w:instrText>
          </w:r>
          <w:r>
            <w:rPr>
              <w:rFonts w:hint="default" w:ascii="Times New Roman" w:hAnsi="Times New Roman" w:cs="Times New Roman"/>
              <w:color w:val="auto"/>
            </w:rPr>
            <w:fldChar w:fldCharType="separate"/>
          </w:r>
          <w:r>
            <w:rPr>
              <w:rFonts w:hint="default" w:ascii="Times New Roman" w:hAnsi="Times New Roman" w:cs="Times New Roman"/>
              <w:color w:val="auto"/>
            </w:rPr>
            <w:t>230</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_Toc17206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cs="Times New Roman"/>
              <w:color w:val="auto"/>
              <w:lang w:val="en-US" w:eastAsia="zh-CN"/>
            </w:rPr>
            <w:t>8.8.1 环境监测目的</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_Toc17206 \h </w:instrText>
          </w:r>
          <w:r>
            <w:rPr>
              <w:rFonts w:hint="default" w:ascii="Times New Roman" w:hAnsi="Times New Roman" w:cs="Times New Roman"/>
              <w:color w:val="auto"/>
            </w:rPr>
            <w:fldChar w:fldCharType="separate"/>
          </w:r>
          <w:r>
            <w:rPr>
              <w:rFonts w:hint="default" w:ascii="Times New Roman" w:hAnsi="Times New Roman" w:cs="Times New Roman"/>
              <w:color w:val="auto"/>
            </w:rPr>
            <w:t>230</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_Toc3052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cs="Times New Roman"/>
              <w:color w:val="auto"/>
              <w:lang w:val="en-US" w:eastAsia="zh-CN"/>
            </w:rPr>
            <w:t>8.8.2 环境监测计划</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_Toc3052 \h </w:instrText>
          </w:r>
          <w:r>
            <w:rPr>
              <w:rFonts w:hint="default" w:ascii="Times New Roman" w:hAnsi="Times New Roman" w:cs="Times New Roman"/>
              <w:color w:val="auto"/>
            </w:rPr>
            <w:fldChar w:fldCharType="separate"/>
          </w:r>
          <w:r>
            <w:rPr>
              <w:rFonts w:hint="default" w:ascii="Times New Roman" w:hAnsi="Times New Roman" w:cs="Times New Roman"/>
              <w:color w:val="auto"/>
            </w:rPr>
            <w:t>231</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_Toc18188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cs="Times New Roman"/>
              <w:color w:val="auto"/>
              <w:lang w:val="en-US" w:eastAsia="zh-CN"/>
            </w:rPr>
            <w:t>8.8.2.1 施工期监测计划</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_Toc18188 \h </w:instrText>
          </w:r>
          <w:r>
            <w:rPr>
              <w:rFonts w:hint="default" w:ascii="Times New Roman" w:hAnsi="Times New Roman" w:cs="Times New Roman"/>
              <w:color w:val="auto"/>
            </w:rPr>
            <w:fldChar w:fldCharType="separate"/>
          </w:r>
          <w:r>
            <w:rPr>
              <w:rFonts w:hint="default" w:ascii="Times New Roman" w:hAnsi="Times New Roman" w:cs="Times New Roman"/>
              <w:color w:val="auto"/>
            </w:rPr>
            <w:t>231</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_Toc20050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cs="Times New Roman"/>
              <w:color w:val="auto"/>
              <w:lang w:val="en-US" w:eastAsia="zh-CN"/>
            </w:rPr>
            <w:t>8.8.2.2营运期监测计划</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_Toc20050 \h </w:instrText>
          </w:r>
          <w:r>
            <w:rPr>
              <w:rFonts w:hint="default" w:ascii="Times New Roman" w:hAnsi="Times New Roman" w:cs="Times New Roman"/>
              <w:color w:val="auto"/>
            </w:rPr>
            <w:fldChar w:fldCharType="separate"/>
          </w:r>
          <w:r>
            <w:rPr>
              <w:rFonts w:hint="default" w:ascii="Times New Roman" w:hAnsi="Times New Roman" w:cs="Times New Roman"/>
              <w:color w:val="auto"/>
            </w:rPr>
            <w:t>233</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_Toc25920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cs="Times New Roman"/>
              <w:color w:val="auto"/>
              <w:lang w:val="en-US" w:eastAsia="zh-CN"/>
            </w:rPr>
            <w:t>8.8.3环境监理</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_Toc25920 \h </w:instrText>
          </w:r>
          <w:r>
            <w:rPr>
              <w:rFonts w:hint="default" w:ascii="Times New Roman" w:hAnsi="Times New Roman" w:cs="Times New Roman"/>
              <w:color w:val="auto"/>
            </w:rPr>
            <w:fldChar w:fldCharType="separate"/>
          </w:r>
          <w:r>
            <w:rPr>
              <w:rFonts w:hint="default" w:ascii="Times New Roman" w:hAnsi="Times New Roman" w:cs="Times New Roman"/>
              <w:color w:val="auto"/>
            </w:rPr>
            <w:t>235</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0"/>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_Toc22058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cs="Times New Roman"/>
              <w:color w:val="auto"/>
              <w:lang w:val="en-US" w:eastAsia="zh-CN"/>
            </w:rPr>
            <w:t>8.8.31.1监理目的和任务</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_Toc22058 \h </w:instrText>
          </w:r>
          <w:r>
            <w:rPr>
              <w:rFonts w:hint="default" w:ascii="Times New Roman" w:hAnsi="Times New Roman" w:cs="Times New Roman"/>
              <w:color w:val="auto"/>
            </w:rPr>
            <w:fldChar w:fldCharType="separate"/>
          </w:r>
          <w:r>
            <w:rPr>
              <w:rFonts w:hint="default" w:ascii="Times New Roman" w:hAnsi="Times New Roman" w:cs="Times New Roman"/>
              <w:color w:val="auto"/>
            </w:rPr>
            <w:t>235</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18"/>
            <w:tabs>
              <w:tab w:val="right" w:leader="dot" w:pos="8300"/>
            </w:tabs>
            <w:rPr>
              <w:rFonts w:hint="default" w:ascii="Times New Roman" w:hAnsi="Times New Roman" w:cs="Times New Roman"/>
              <w:color w:val="auto"/>
            </w:rPr>
          </w:pPr>
          <w:r>
            <w:rPr>
              <w:rFonts w:hint="default" w:ascii="Times New Roman" w:hAnsi="Times New Roman" w:eastAsia="宋体" w:cs="Times New Roman"/>
              <w:bCs/>
              <w:color w:val="auto"/>
              <w:kern w:val="0"/>
              <w:szCs w:val="24"/>
              <w:lang w:val="en-US" w:eastAsia="zh-CN" w:bidi="ar"/>
            </w:rPr>
            <w:fldChar w:fldCharType="begin"/>
          </w:r>
          <w:r>
            <w:rPr>
              <w:rFonts w:hint="default" w:ascii="Times New Roman" w:hAnsi="Times New Roman" w:eastAsia="宋体" w:cs="Times New Roman"/>
              <w:bCs/>
              <w:color w:val="auto"/>
              <w:kern w:val="0"/>
              <w:szCs w:val="24"/>
              <w:lang w:val="en-US" w:eastAsia="zh-CN" w:bidi="ar"/>
            </w:rPr>
            <w:instrText xml:space="preserve"> HYPERLINK \l _Toc32709 </w:instrText>
          </w:r>
          <w:r>
            <w:rPr>
              <w:rFonts w:hint="default" w:ascii="Times New Roman" w:hAnsi="Times New Roman" w:eastAsia="宋体" w:cs="Times New Roman"/>
              <w:bCs/>
              <w:color w:val="auto"/>
              <w:kern w:val="0"/>
              <w:szCs w:val="24"/>
              <w:lang w:val="en-US" w:eastAsia="zh-CN" w:bidi="ar"/>
            </w:rPr>
            <w:fldChar w:fldCharType="separate"/>
          </w:r>
          <w:r>
            <w:rPr>
              <w:rFonts w:hint="default" w:ascii="Times New Roman" w:hAnsi="Times New Roman" w:eastAsia="宋体" w:cs="Times New Roman"/>
              <w:color w:val="auto"/>
              <w:lang w:val="en-US" w:eastAsia="zh-CN"/>
            </w:rPr>
            <w:t>第</w:t>
          </w:r>
          <w:r>
            <w:rPr>
              <w:rFonts w:hint="default" w:ascii="Times New Roman" w:hAnsi="Times New Roman" w:cs="Times New Roman"/>
              <w:color w:val="auto"/>
              <w:lang w:val="en-US" w:eastAsia="zh-CN"/>
            </w:rPr>
            <w:t>九</w:t>
          </w:r>
          <w:r>
            <w:rPr>
              <w:rFonts w:hint="default" w:ascii="Times New Roman" w:hAnsi="Times New Roman" w:eastAsia="宋体" w:cs="Times New Roman"/>
              <w:color w:val="auto"/>
              <w:lang w:val="en-US" w:eastAsia="zh-CN"/>
            </w:rPr>
            <w:t>章  结论与建议</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_Toc32709 \h </w:instrText>
          </w:r>
          <w:r>
            <w:rPr>
              <w:rFonts w:hint="default" w:ascii="Times New Roman" w:hAnsi="Times New Roman" w:cs="Times New Roman"/>
              <w:color w:val="auto"/>
            </w:rPr>
            <w:fldChar w:fldCharType="separate"/>
          </w:r>
          <w:r>
            <w:rPr>
              <w:rFonts w:hint="default" w:ascii="Times New Roman" w:hAnsi="Times New Roman" w:cs="Times New Roman"/>
              <w:color w:val="auto"/>
            </w:rPr>
            <w:t>241</w:t>
          </w:r>
          <w:r>
            <w:rPr>
              <w:rFonts w:hint="default" w:ascii="Times New Roman" w:hAnsi="Times New Roman" w:cs="Times New Roman"/>
              <w:color w:val="auto"/>
            </w:rPr>
            <w:fldChar w:fldCharType="end"/>
          </w:r>
          <w:r>
            <w:rPr>
              <w:rFonts w:hint="default" w:ascii="Times New Roman" w:hAnsi="Times New Roman" w:eastAsia="宋体" w:cs="Times New Roman"/>
              <w:bCs/>
              <w:color w:val="auto"/>
              <w:kern w:val="0"/>
              <w:szCs w:val="24"/>
              <w:lang w:val="en-US" w:eastAsia="zh-CN" w:bidi="ar"/>
            </w:rPr>
            <w:fldChar w:fldCharType="end"/>
          </w:r>
        </w:p>
        <w:p>
          <w:pPr>
            <w:pStyle w:val="2"/>
            <w:spacing w:line="360" w:lineRule="auto"/>
            <w:rPr>
              <w:rFonts w:hint="default" w:ascii="Times New Roman" w:hAnsi="Times New Roman" w:eastAsia="宋体" w:cs="Times New Roman"/>
              <w:b/>
              <w:bCs/>
              <w:color w:val="auto"/>
              <w:kern w:val="0"/>
              <w:sz w:val="31"/>
              <w:szCs w:val="31"/>
              <w:lang w:val="en-US" w:eastAsia="zh-CN" w:bidi="ar"/>
            </w:rPr>
            <w:sectPr>
              <w:pgSz w:w="11906" w:h="16838"/>
              <w:pgMar w:top="1440" w:right="1803" w:bottom="1440" w:left="1803"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r>
            <w:rPr>
              <w:rFonts w:hint="default" w:ascii="Times New Roman" w:hAnsi="Times New Roman" w:eastAsia="宋体" w:cs="Times New Roman"/>
              <w:bCs/>
              <w:color w:val="auto"/>
              <w:kern w:val="0"/>
              <w:szCs w:val="24"/>
              <w:lang w:val="en-US" w:eastAsia="zh-CN" w:bidi="ar"/>
            </w:rPr>
            <w:fldChar w:fldCharType="end"/>
          </w:r>
        </w:p>
      </w:sdtContent>
    </w:sdt>
    <w:p>
      <w:pPr>
        <w:pStyle w:val="4"/>
        <w:keepNext/>
        <w:keepLines/>
        <w:pageBreakBefore w:val="0"/>
        <w:widowControl w:val="0"/>
        <w:kinsoku/>
        <w:wordWrap/>
        <w:overflowPunct/>
        <w:topLinePunct w:val="0"/>
        <w:autoSpaceDE/>
        <w:autoSpaceDN/>
        <w:bidi w:val="0"/>
        <w:adjustRightInd/>
        <w:snapToGrid/>
        <w:spacing w:before="180" w:after="180" w:line="480" w:lineRule="exact"/>
        <w:textAlignment w:val="auto"/>
        <w:rPr>
          <w:rFonts w:hint="default" w:ascii="Times New Roman" w:hAnsi="Times New Roman" w:eastAsia="宋体" w:cs="Times New Roman"/>
          <w:color w:val="auto"/>
          <w:sz w:val="32"/>
          <w:szCs w:val="32"/>
        </w:rPr>
      </w:pPr>
      <w:bookmarkStart w:id="2" w:name="_Toc45724439"/>
      <w:bookmarkStart w:id="3" w:name="_Toc3190"/>
      <w:r>
        <w:rPr>
          <w:rFonts w:hint="default" w:ascii="Times New Roman" w:hAnsi="Times New Roman" w:eastAsia="宋体" w:cs="Times New Roman"/>
          <w:color w:val="auto"/>
          <w:sz w:val="36"/>
          <w:szCs w:val="36"/>
        </w:rPr>
        <w:t>概述</w:t>
      </w:r>
      <w:bookmarkEnd w:id="2"/>
      <w:bookmarkEnd w:id="3"/>
    </w:p>
    <w:p>
      <w:pPr>
        <w:keepNext w:val="0"/>
        <w:keepLines w:val="0"/>
        <w:pageBreakBefore w:val="0"/>
        <w:numPr>
          <w:ilvl w:val="0"/>
          <w:numId w:val="1"/>
        </w:numPr>
        <w:kinsoku/>
        <w:wordWrap/>
        <w:overflowPunct/>
        <w:topLinePunct w:val="0"/>
        <w:autoSpaceDE/>
        <w:autoSpaceDN/>
        <w:bidi w:val="0"/>
        <w:adjustRightInd/>
        <w:snapToGrid/>
        <w:spacing w:line="480" w:lineRule="exact"/>
        <w:textAlignment w:val="auto"/>
        <w:outlineLvl w:val="9"/>
        <w:rPr>
          <w:rFonts w:hint="default" w:ascii="Times New Roman" w:hAnsi="Times New Roman" w:eastAsia="宋体" w:cs="Times New Roman"/>
          <w:color w:val="auto"/>
          <w:lang w:val="en-US" w:eastAsia="zh-CN"/>
        </w:rPr>
      </w:pPr>
      <w:bookmarkStart w:id="4" w:name="_Toc45724441"/>
      <w:bookmarkStart w:id="5" w:name="_Toc29089"/>
      <w:r>
        <w:rPr>
          <w:rFonts w:hint="default" w:ascii="Times New Roman" w:hAnsi="Times New Roman" w:eastAsia="宋体" w:cs="Times New Roman"/>
          <w:b/>
          <w:bCs/>
          <w:color w:val="auto"/>
          <w:lang w:eastAsia="zh-CN"/>
        </w:rPr>
        <w:t>项目由来</w:t>
      </w:r>
      <w:bookmarkEnd w:id="4"/>
      <w:bookmarkEnd w:id="5"/>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国家石油天然气管网集团有限公司于2019年12月9日在北京成立。国家管网成立是天然气体制改革中最为重大和根本性的改革措施，对我国油气长输管道的建设有重要的意义。</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四川盆地天然气资源十分丰富，是我国天然气生产主要基地之一。2007年元坝1-1侧井在长兴组试获</w:t>
      </w:r>
      <w:r>
        <w:rPr>
          <w:rFonts w:hint="default" w:ascii="Times New Roman" w:hAnsi="Times New Roman" w:cs="Times New Roman"/>
          <w:color w:val="auto"/>
          <w:kern w:val="0"/>
          <w:sz w:val="24"/>
          <w:szCs w:val="24"/>
          <w:lang w:val="en-US" w:eastAsia="zh-CN" w:bidi="ar"/>
        </w:rPr>
        <w:t>30×10</w:t>
      </w:r>
      <w:r>
        <w:rPr>
          <w:rFonts w:hint="default" w:ascii="Times New Roman" w:hAnsi="Times New Roman" w:eastAsia="宋体" w:cs="Times New Roman"/>
          <w:color w:val="auto"/>
          <w:kern w:val="0"/>
          <w:sz w:val="24"/>
          <w:szCs w:val="24"/>
          <w:vertAlign w:val="superscript"/>
          <w:lang w:val="en-US" w:eastAsia="zh-CN" w:bidi="ar"/>
        </w:rPr>
        <w:t>4</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/d的高产工业气流，元坝气田海相探明储量1592.53×10</w:t>
      </w:r>
      <w:r>
        <w:rPr>
          <w:rFonts w:hint="default" w:ascii="Times New Roman" w:hAnsi="Times New Roman" w:eastAsia="宋体" w:cs="Times New Roman"/>
          <w:color w:val="auto"/>
          <w:kern w:val="0"/>
          <w:sz w:val="24"/>
          <w:szCs w:val="24"/>
          <w:vertAlign w:val="superscript"/>
          <w:lang w:val="en-US" w:eastAsia="zh-CN" w:bidi="ar"/>
        </w:rPr>
        <w:t>8</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，可建产能34×10</w:t>
      </w:r>
      <w:r>
        <w:rPr>
          <w:rFonts w:hint="default" w:ascii="Times New Roman" w:hAnsi="Times New Roman" w:eastAsia="宋体" w:cs="Times New Roman"/>
          <w:color w:val="auto"/>
          <w:kern w:val="0"/>
          <w:sz w:val="24"/>
          <w:szCs w:val="24"/>
          <w:vertAlign w:val="superscript"/>
          <w:lang w:val="en-US" w:eastAsia="zh-CN" w:bidi="ar"/>
        </w:rPr>
        <w:t>8</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；元坝气田陆相区块矿权面积 3251.48km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，通过钻探、试采和评价，获得了元坝地区中浅层总资源量7021×10</w:t>
      </w:r>
      <w:r>
        <w:rPr>
          <w:rFonts w:hint="default" w:ascii="Times New Roman" w:hAnsi="Times New Roman" w:eastAsia="宋体" w:cs="Times New Roman"/>
          <w:color w:val="auto"/>
          <w:kern w:val="0"/>
          <w:sz w:val="24"/>
          <w:szCs w:val="24"/>
          <w:vertAlign w:val="superscript"/>
          <w:lang w:val="en-US" w:eastAsia="zh-CN" w:bidi="ar"/>
        </w:rPr>
        <w:t>8</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，累计获控制储量 2596.16×10</w:t>
      </w:r>
      <w:r>
        <w:rPr>
          <w:rFonts w:hint="default" w:ascii="Times New Roman" w:hAnsi="Times New Roman" w:eastAsia="宋体" w:cs="Times New Roman"/>
          <w:color w:val="auto"/>
          <w:kern w:val="0"/>
          <w:sz w:val="24"/>
          <w:szCs w:val="24"/>
          <w:vertAlign w:val="superscript"/>
          <w:lang w:val="en-US" w:eastAsia="zh-CN" w:bidi="ar"/>
        </w:rPr>
        <w:t>8</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、预测储量2556.16×10</w:t>
      </w:r>
      <w:r>
        <w:rPr>
          <w:rFonts w:hint="default" w:ascii="Times New Roman" w:hAnsi="Times New Roman" w:eastAsia="宋体" w:cs="Times New Roman"/>
          <w:color w:val="auto"/>
          <w:kern w:val="0"/>
          <w:sz w:val="24"/>
          <w:szCs w:val="24"/>
          <w:vertAlign w:val="superscript"/>
          <w:lang w:val="en-US" w:eastAsia="zh-CN" w:bidi="ar"/>
        </w:rPr>
        <w:t>8</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，地质储量合计5152.32×10</w:t>
      </w:r>
      <w:r>
        <w:rPr>
          <w:rFonts w:hint="default" w:ascii="Times New Roman" w:hAnsi="Times New Roman" w:eastAsia="宋体" w:cs="Times New Roman"/>
          <w:color w:val="auto"/>
          <w:kern w:val="0"/>
          <w:sz w:val="24"/>
          <w:szCs w:val="24"/>
          <w:vertAlign w:val="superscript"/>
          <w:lang w:val="en-US" w:eastAsia="zh-CN" w:bidi="ar"/>
        </w:rPr>
        <w:t>8</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，2017年元坝气田形成年产44×10</w:t>
      </w:r>
      <w:r>
        <w:rPr>
          <w:rFonts w:hint="default" w:ascii="Times New Roman" w:hAnsi="Times New Roman" w:eastAsia="宋体" w:cs="Times New Roman"/>
          <w:color w:val="auto"/>
          <w:kern w:val="0"/>
          <w:sz w:val="24"/>
          <w:szCs w:val="24"/>
          <w:vertAlign w:val="superscript"/>
          <w:lang w:val="en-US" w:eastAsia="zh-CN" w:bidi="ar"/>
        </w:rPr>
        <w:t>8</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天然气的产能规模。元坝气田自2014年12月投产以来，累计生产天然气200.02亿立方米。其中超过100亿立方米天然气输送至长江中下游，为推动长江经济带发展起到积极作用。 </w:t>
      </w:r>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中贵线与元坝-普光管道联通工程连接中贵线四川段以及元坝处理厂，是国家油气管网的重要组成部分。</w:t>
      </w:r>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川渝地区主要气源为中石油和中石化自产气，2019年川渝地区天然气消费总量达到353亿方。四川省消费量最大，2019年消费248亿方，重庆市消费105亿方。消费结构以城市燃气和工业燃料为主，消费占比分别为47%和27%，化工和发电分别占比24%和2%。互联互通工程目标市场包含四川省和重庆市。两省经济水平和天然气利用水平不同，在管道建设、用气规模、市场等存在差异，随着经济快速发展，能源结构不断优化，天然气作为清洁能源，在一次能源消费占比逐步提高，天然气市场将进一步扩大。</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为满足元坝气田产能外输和各地区不断增长的用气需求，</w:t>
      </w:r>
      <w:r>
        <w:rPr>
          <w:rFonts w:hint="default" w:ascii="Times New Roman" w:hAnsi="Times New Roman" w:eastAsia="宋体" w:cs="Times New Roman"/>
          <w:color w:val="auto"/>
          <w:lang w:val="en-US" w:eastAsia="zh-CN"/>
        </w:rPr>
        <w:t>国家管网集团西南管道有限责任公司兰成渝输油分公司</w:t>
      </w:r>
      <w:r>
        <w:rPr>
          <w:rFonts w:hint="default" w:ascii="Times New Roman" w:hAnsi="Times New Roman" w:eastAsia="宋体" w:cs="Times New Roman"/>
          <w:color w:val="auto"/>
          <w:kern w:val="0"/>
          <w:sz w:val="24"/>
          <w:szCs w:val="24"/>
          <w:lang w:val="en-US" w:eastAsia="zh-CN" w:bidi="ar"/>
        </w:rPr>
        <w:t>決定投资37714万元建设中贵线与元坝-普光管道联通工程。同时，本工程的建设可以增加区域管网的输配气灵活性，实现中贵线与元坝-普光管道的互联互通。</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主要工程内容如下：</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1.1 管道线路</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中贵线与元坝-普光管道联通工程，项目管道全线位于苍溪县境内，沿线分别经过苍溪县元坝镇、云峰镇、陵江镇共1县3乡镇，全线长度约</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。管道起于元坝净化厂内的元坝首站，线路出站后向南敷设，途经冉家沟、李家湾，圆包梁，在阎家湾穿越东河后，经全民村、朱家湾、孙家沟、曹家院、清盐村，张家湾，最后止于陵江清管站。</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工程管道设计压力10.0MPa，管径D1016mm，材质 L485M。全线共设2座站场（1座新建，1座扩建）。河流大型穿越1次（东河），无高等级公路穿越，乡村水泥路穿越26次，碎石路穿越18次。</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1.2 输气工艺站场</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本工程包括扩建元坝首站，新建陵江清管站。设计规模 </w:t>
      </w:r>
      <w:r>
        <w:rPr>
          <w:rFonts w:hint="default" w:ascii="Times New Roman" w:hAnsi="Times New Roman" w:cs="Times New Roman"/>
          <w:color w:val="auto"/>
          <w:kern w:val="0"/>
          <w:sz w:val="24"/>
          <w:szCs w:val="24"/>
          <w:lang w:val="en-US" w:eastAsia="zh-CN" w:bidi="ar"/>
        </w:rPr>
        <w:t>30×10</w:t>
      </w:r>
      <w:r>
        <w:rPr>
          <w:rFonts w:hint="default" w:ascii="Times New Roman" w:hAnsi="Times New Roman" w:eastAsia="宋体" w:cs="Times New Roman"/>
          <w:color w:val="auto"/>
          <w:kern w:val="0"/>
          <w:sz w:val="24"/>
          <w:szCs w:val="24"/>
          <w:vertAlign w:val="superscript"/>
          <w:lang w:val="en-US" w:eastAsia="zh-CN" w:bidi="ar"/>
        </w:rPr>
        <w:t>8</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/a，设计输量1500×10</w:t>
      </w:r>
      <w:r>
        <w:rPr>
          <w:rFonts w:hint="default" w:ascii="Times New Roman" w:hAnsi="Times New Roman" w:eastAsia="宋体" w:cs="Times New Roman"/>
          <w:color w:val="auto"/>
          <w:kern w:val="0"/>
          <w:sz w:val="24"/>
          <w:szCs w:val="24"/>
          <w:vertAlign w:val="superscript"/>
          <w:lang w:val="en-US" w:eastAsia="zh-CN" w:bidi="ar"/>
        </w:rPr>
        <w:t>4</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16"/>
          <w:szCs w:val="16"/>
          <w:lang w:val="en-US" w:eastAsia="zh-CN" w:bidi="ar"/>
        </w:rPr>
        <w:t xml:space="preserve"> </w:t>
      </w:r>
      <w:r>
        <w:rPr>
          <w:rFonts w:hint="default" w:ascii="Times New Roman" w:hAnsi="Times New Roman" w:eastAsia="宋体" w:cs="Times New Roman"/>
          <w:color w:val="auto"/>
          <w:kern w:val="0"/>
          <w:sz w:val="24"/>
          <w:szCs w:val="24"/>
          <w:lang w:val="en-US" w:eastAsia="zh-CN" w:bidi="ar"/>
        </w:rPr>
        <w:t>/d，推荐设计压力为10.0MPa，管径D1016mm。根据相关标准规范，本工程线路及站场压力管道分类划分为 GA 类。</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1.3 防腐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线路管道防腐采取外防腐层加阴极保护的联合保护方案。管道全线采用常温型聚乙烯三层结构（三层 PE）外防腐层；管道阴极保护采用强制电流法。</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站内地面设备、管道采用涂装防腐涂料的防腐方案；站内埋地管道防腐采用以三层PE 加强级外防腐层为主的方式。本工程推荐对新建陵江清管站站内埋地管道和设施实施区域阴极保护，保护站场管道设备的安全运行。</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1.4 自动控制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为保证管道全线安全、可靠、平稳、高效、经济地运行，本工程采用以计算机技术为核心的监控和数据采集系统，实现管道全线的集中数据采集、监控和调度管理。</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本工程的新建站场接入已建国家管网调控中心和廊坊备用调控中心进行监控和管理。按照“调控中心级”、“站场控制级”和“就地操作控制级”的三级控制模式对管道全线进行集中监控及调度管理。</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元坝首站（扩建）已设置了站控系统，站控系统对站场新增的工艺变量及设备运行状态的数据采集、监视控制及联锁保护。本次改造在原系统上进行扩容。陵江清管站设置站控系统对站场的工艺变量及设备运行状态的数据采集、监视控制及联锁保护。</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1.5 占地</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根据主体工程项目可研资料，本工程由管道工程、站场、施工道路等组成，总占地面积46.23hm²。其中永久占地9.02hm²，临时占地37.21hm²。</w:t>
      </w:r>
    </w:p>
    <w:p>
      <w:pPr>
        <w:pStyle w:val="2"/>
        <w:jc w:val="left"/>
        <w:outlineLvl w:val="9"/>
        <w:rPr>
          <w:rFonts w:hint="default" w:ascii="Times New Roman" w:hAnsi="Times New Roman" w:eastAsia="宋体" w:cs="Times New Roman"/>
          <w:b/>
          <w:bCs/>
          <w:color w:val="auto"/>
          <w:lang w:val="en-US" w:eastAsia="zh-CN"/>
        </w:rPr>
      </w:pPr>
      <w:bookmarkStart w:id="6" w:name="_Toc9760"/>
      <w:r>
        <w:rPr>
          <w:rFonts w:hint="default" w:ascii="Times New Roman" w:hAnsi="Times New Roman" w:eastAsia="宋体" w:cs="Times New Roman"/>
          <w:b/>
          <w:bCs/>
          <w:color w:val="auto"/>
          <w:lang w:val="en-US" w:eastAsia="zh-CN"/>
        </w:rPr>
        <w:t>二、环境影响评价工作过程</w:t>
      </w:r>
      <w:bookmarkEnd w:id="6"/>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经分析，对照最新《中华人民共和国环境保护法》、《中华人民共和国环境影响评价法》、《建设项目环境影响评价分类管理名录》及地方环境保护行政主管部门的意见，国家管网集团西南管道有限责任公司兰成渝输油分公司“</w:t>
      </w:r>
      <w:r>
        <w:rPr>
          <w:rFonts w:hint="default" w:ascii="Times New Roman" w:hAnsi="Times New Roman" w:eastAsia="宋体" w:cs="Times New Roman"/>
          <w:color w:val="auto"/>
          <w:kern w:val="0"/>
          <w:sz w:val="24"/>
          <w:szCs w:val="24"/>
          <w:lang w:val="en-US" w:eastAsia="zh-CN" w:bidi="ar"/>
        </w:rPr>
        <w:t>中贵线与元坝-普光管道联通工程</w:t>
      </w:r>
      <w:r>
        <w:rPr>
          <w:rFonts w:hint="default" w:ascii="Times New Roman" w:hAnsi="Times New Roman" w:eastAsia="宋体" w:cs="Times New Roman"/>
          <w:color w:val="auto"/>
          <w:lang w:val="en-US" w:eastAsia="zh-CN"/>
        </w:rPr>
        <w:t>”（以下简称“本工程”）属于《建设项目环境影响评价分类管理名录》</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val="en-US" w:eastAsia="zh-CN"/>
        </w:rPr>
        <w:t>2021年版</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eastAsia="zh-CN"/>
        </w:rPr>
        <w:t>中“</w:t>
      </w:r>
      <w:r>
        <w:rPr>
          <w:rFonts w:hint="default" w:ascii="Times New Roman" w:hAnsi="Times New Roman" w:eastAsia="宋体" w:cs="Times New Roman"/>
          <w:color w:val="auto"/>
          <w:sz w:val="24"/>
          <w:lang w:val="en-US" w:eastAsia="zh-CN"/>
        </w:rPr>
        <w:t>五十二、交通运输业、管道运输业</w:t>
      </w:r>
      <w:r>
        <w:rPr>
          <w:rFonts w:hint="default" w:ascii="Times New Roman" w:hAnsi="Times New Roman" w:eastAsia="宋体" w:cs="Times New Roman"/>
          <w:color w:val="auto"/>
          <w:sz w:val="24"/>
          <w:lang w:eastAsia="zh-CN"/>
        </w:rPr>
        <w:t>”中“</w:t>
      </w:r>
      <w:r>
        <w:rPr>
          <w:rFonts w:hint="default" w:ascii="Times New Roman" w:hAnsi="Times New Roman" w:eastAsia="宋体" w:cs="Times New Roman"/>
          <w:color w:val="auto"/>
          <w:sz w:val="24"/>
          <w:lang w:val="en-US" w:eastAsia="zh-CN"/>
        </w:rPr>
        <w:t>147 原油、成品油、天然气管线（不含城市天然气管线；不含城镇燃气管线；不含企业厂区内管道）</w:t>
      </w:r>
      <w:r>
        <w:rPr>
          <w:rFonts w:hint="default" w:ascii="Times New Roman" w:hAnsi="Times New Roman" w:eastAsia="宋体" w:cs="Times New Roman"/>
          <w:color w:val="auto"/>
          <w:sz w:val="24"/>
          <w:lang w:eastAsia="zh-CN"/>
        </w:rPr>
        <w:t>”中</w:t>
      </w:r>
      <w:r>
        <w:rPr>
          <w:rFonts w:hint="default" w:ascii="Times New Roman" w:hAnsi="Times New Roman" w:eastAsia="宋体" w:cs="Times New Roman"/>
          <w:color w:val="auto"/>
          <w:sz w:val="24"/>
          <w:lang w:val="en-US" w:eastAsia="zh-CN"/>
        </w:rPr>
        <w:t>“涉及环境敏感区的</w:t>
      </w:r>
      <w:r>
        <w:rPr>
          <w:rFonts w:hint="eastAsia" w:ascii="Times New Roman" w:hAnsi="Times New Roman" w:cs="Times New Roman"/>
          <w:color w:val="auto"/>
          <w:sz w:val="24"/>
          <w:lang w:val="en-US" w:eastAsia="zh-CN"/>
        </w:rPr>
        <w:t>（穿越东河集中式饮用水水源保护区）</w:t>
      </w:r>
      <w:r>
        <w:rPr>
          <w:rFonts w:hint="default" w:ascii="Times New Roman" w:hAnsi="Times New Roman" w:eastAsia="宋体" w:cs="Times New Roman"/>
          <w:color w:val="auto"/>
          <w:sz w:val="24"/>
          <w:lang w:val="en-US" w:eastAsia="zh-CN"/>
        </w:rPr>
        <w:t>”的类别</w:t>
      </w:r>
      <w:r>
        <w:rPr>
          <w:rFonts w:hint="default" w:ascii="Times New Roman" w:hAnsi="Times New Roman" w:eastAsia="宋体" w:cs="Times New Roman"/>
          <w:color w:val="auto"/>
          <w:sz w:val="24"/>
          <w:lang w:eastAsia="zh-CN"/>
        </w:rPr>
        <w:t>，必须进行环境影响评价工作，环评类别为编制环境影响报告书。</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为此，</w:t>
      </w:r>
      <w:r>
        <w:rPr>
          <w:rFonts w:hint="default" w:ascii="Times New Roman" w:hAnsi="Times New Roman" w:eastAsia="宋体" w:cs="Times New Roman"/>
          <w:color w:val="auto"/>
          <w:lang w:val="en-US" w:eastAsia="zh-CN"/>
        </w:rPr>
        <w:t>国家管网集团西南管道有限责任公司兰成渝输油分公司委托四川鑫锦程工程咨询有限公司承担本工程环境影响评价工作，编制环境影响报告书。评价单位在接受委托后，随即组织专业技术人员对项目现场进行踏勘、收集资料，在此基础上对该项目进行工程分析。同时，按照相关环境影响评价技术导则的规范和要求，编制《</w:t>
      </w:r>
      <w:r>
        <w:rPr>
          <w:rFonts w:hint="default" w:ascii="Times New Roman" w:hAnsi="Times New Roman" w:eastAsia="宋体" w:cs="Times New Roman"/>
          <w:bCs/>
          <w:color w:val="auto"/>
          <w:sz w:val="24"/>
          <w:lang w:val="en-US" w:eastAsia="zh-CN"/>
        </w:rPr>
        <w:t>中贵线与元坝-普光管道联通工程</w:t>
      </w:r>
      <w:r>
        <w:rPr>
          <w:rFonts w:hint="default" w:ascii="Times New Roman" w:hAnsi="Times New Roman" w:eastAsia="宋体" w:cs="Times New Roman"/>
          <w:color w:val="auto"/>
          <w:lang w:val="en-US" w:eastAsia="zh-CN"/>
        </w:rPr>
        <w:t>》，上报具有相应审批权限的环境保护行政主管部门审批后，作为项目开展环保设计和环境管理的依据。</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因此，本评价工作程序主要分为以下三个部分：</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（1）调查分析和工作方案制定阶段；</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（2）分析论证和预测评价阶段；</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（3）环境影响评价书编制阶段。</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kern w:val="0"/>
          <w:sz w:val="24"/>
          <w:szCs w:val="24"/>
          <w:lang w:val="en-US" w:eastAsia="zh-CN" w:bidi="ar"/>
        </w:rPr>
        <w:t>图1-1  建设项目环评工作程序框图</w:t>
      </w:r>
      <w:r>
        <w:rPr>
          <w:rFonts w:hint="default" w:ascii="Times New Roman" w:hAnsi="Times New Roman" w:eastAsia="宋体" w:cs="Times New Roman"/>
          <w:color w:val="auto"/>
        </w:rPr>
        <w:drawing>
          <wp:anchor distT="0" distB="0" distL="114300" distR="114300" simplePos="0" relativeHeight="251660288" behindDoc="0" locked="0" layoutInCell="1" allowOverlap="1">
            <wp:simplePos x="0" y="0"/>
            <wp:positionH relativeFrom="column">
              <wp:posOffset>295910</wp:posOffset>
            </wp:positionH>
            <wp:positionV relativeFrom="paragraph">
              <wp:posOffset>145415</wp:posOffset>
            </wp:positionV>
            <wp:extent cx="4979670" cy="5934075"/>
            <wp:effectExtent l="0" t="0" r="11430" b="9525"/>
            <wp:wrapTopAndBottom/>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7"/>
                    <a:stretch>
                      <a:fillRect/>
                    </a:stretch>
                  </pic:blipFill>
                  <pic:spPr>
                    <a:xfrm>
                      <a:off x="0" y="0"/>
                      <a:ext cx="4979670" cy="5934075"/>
                    </a:xfrm>
                    <a:prstGeom prst="rect">
                      <a:avLst/>
                    </a:prstGeom>
                    <a:noFill/>
                    <a:ln>
                      <a:noFill/>
                    </a:ln>
                  </pic:spPr>
                </pic:pic>
              </a:graphicData>
            </a:graphic>
          </wp:anchor>
        </w:drawing>
      </w:r>
    </w:p>
    <w:p>
      <w:pPr>
        <w:pStyle w:val="28"/>
        <w:keepNext w:val="0"/>
        <w:keepLines w:val="0"/>
        <w:pageBreakBefore w:val="0"/>
        <w:widowControl w:val="0"/>
        <w:kinsoku/>
        <w:wordWrap/>
        <w:overflowPunct/>
        <w:topLinePunct w:val="0"/>
        <w:autoSpaceDE w:val="0"/>
        <w:autoSpaceDN w:val="0"/>
        <w:bidi w:val="0"/>
        <w:adjustRightInd w:val="0"/>
        <w:snapToGrid/>
        <w:spacing w:line="480" w:lineRule="exact"/>
        <w:ind w:firstLine="482" w:firstLineChars="200"/>
        <w:textAlignment w:val="auto"/>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三、分析判断相关情况</w:t>
      </w:r>
    </w:p>
    <w:p>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1、产业政策</w:t>
      </w:r>
    </w:p>
    <w:p>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lang w:val="en-US" w:eastAsia="zh-CN"/>
        </w:rPr>
        <w:t>本工程建设</w:t>
      </w:r>
      <w:r>
        <w:rPr>
          <w:rFonts w:hint="default" w:ascii="Times New Roman" w:hAnsi="Times New Roman" w:eastAsia="宋体" w:cs="Times New Roman"/>
          <w:color w:val="auto"/>
          <w:kern w:val="0"/>
          <w:sz w:val="24"/>
          <w:szCs w:val="24"/>
          <w:lang w:val="en-US" w:eastAsia="zh-CN" w:bidi="ar"/>
        </w:rPr>
        <w:t>中贵线与元坝-普光管道联通工程</w:t>
      </w:r>
      <w:r>
        <w:rPr>
          <w:rFonts w:hint="default" w:ascii="Times New Roman" w:hAnsi="Times New Roman" w:eastAsia="宋体" w:cs="Times New Roman"/>
          <w:bCs/>
          <w:color w:val="auto"/>
          <w:sz w:val="24"/>
          <w:lang w:val="en-US" w:eastAsia="zh-CN"/>
        </w:rPr>
        <w:t>，配套建设</w:t>
      </w:r>
      <w:r>
        <w:rPr>
          <w:rFonts w:hint="default" w:ascii="Times New Roman" w:hAnsi="Times New Roman" w:eastAsia="宋体" w:cs="Times New Roman"/>
          <w:color w:val="auto"/>
          <w:kern w:val="0"/>
          <w:sz w:val="24"/>
          <w:szCs w:val="24"/>
          <w:lang w:val="en-US" w:eastAsia="zh-CN" w:bidi="ar"/>
        </w:rPr>
        <w:t>2座站场（1座新建，1座扩建），属于天然气运输管道联通项目</w:t>
      </w:r>
      <w:r>
        <w:rPr>
          <w:rFonts w:hint="default" w:ascii="Times New Roman" w:hAnsi="Times New Roman" w:eastAsia="宋体" w:cs="Times New Roman"/>
          <w:bCs/>
          <w:color w:val="auto"/>
          <w:sz w:val="24"/>
          <w:lang w:val="en-US" w:eastAsia="zh-CN"/>
        </w:rPr>
        <w:t>，</w:t>
      </w:r>
      <w:r>
        <w:rPr>
          <w:rFonts w:hint="default" w:ascii="Times New Roman" w:hAnsi="Times New Roman" w:eastAsia="宋体" w:cs="Times New Roman"/>
          <w:color w:val="auto"/>
          <w:kern w:val="0"/>
          <w:sz w:val="24"/>
          <w:szCs w:val="24"/>
          <w:lang w:val="en-US" w:eastAsia="zh-CN" w:bidi="ar"/>
        </w:rPr>
        <w:t>项目符合国家以“贯彻开发与节约并重的方针，改善能源结构与布局，能源工业的发展以煤炭为基础，电力为中心，大力发展水电，积极开发石油、天然气，适当发展核电，因地制宜地开发新能源和可再生能源，依靠科技进步，提高能源效率，合理利用能源资源，减少环境污染”的能源与环境发展的战略和政策。</w:t>
      </w:r>
    </w:p>
    <w:p>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本工程属于《产业结构调整指导目录（2019年本）》中鼓励类中的“七、石油、天然气——3、原油、天然气、液化天然气、成品油的储运和管道输送设施、网络和液化天然气加注设施建设”。</w:t>
      </w:r>
    </w:p>
    <w:p>
      <w:pPr>
        <w:pStyle w:val="2"/>
        <w:jc w:val="both"/>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同时苍溪县发展和改革局以苍发改投资</w:t>
      </w:r>
      <w:r>
        <w:rPr>
          <w:rFonts w:hint="default" w:ascii="Times New Roman" w:hAnsi="Times New Roman" w:eastAsia="宋体" w:cs="Times New Roman"/>
          <w:color w:val="auto"/>
          <w:lang w:val="en-US" w:eastAsia="zh-CN"/>
        </w:rPr>
        <w:t>〔2021〕185号文件《苍溪县发展和改革局“关于中贵线与元坝-普光管道联通工程”项目核准的批复》同意本工程立项。</w:t>
      </w:r>
    </w:p>
    <w:p>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rPr>
        <w:t>因此，</w:t>
      </w:r>
      <w:r>
        <w:rPr>
          <w:rFonts w:hint="default" w:ascii="Times New Roman" w:hAnsi="Times New Roman" w:eastAsia="宋体" w:cs="Times New Roman"/>
          <w:b/>
          <w:bCs/>
          <w:color w:val="auto"/>
          <w:lang w:eastAsia="zh-CN"/>
        </w:rPr>
        <w:t>本工程</w:t>
      </w:r>
      <w:r>
        <w:rPr>
          <w:rFonts w:hint="default" w:ascii="Times New Roman" w:hAnsi="Times New Roman" w:eastAsia="宋体" w:cs="Times New Roman"/>
          <w:b/>
          <w:bCs/>
          <w:color w:val="auto"/>
        </w:rPr>
        <w:t>符合国家现行产业政策。</w:t>
      </w:r>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2、规划选址合理性</w:t>
      </w:r>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highlight w:val="none"/>
          <w:lang w:val="en-US" w:eastAsia="zh-CN" w:bidi="ar"/>
        </w:rPr>
        <w:t>中贵线与元坝-普光管道联通工程项目管道全线位于苍溪县境内，管道起于元坝净化厂内的元坝首站，线路出站后向南敷设，途经冉家沟、李家湾，圆包梁，在阎家湾穿越东河后，经全民村、朱家湾、孙家沟、曹家院、清盐村，张家湾，最后止于陵江清管站，全线长度约</w:t>
      </w:r>
      <w:r>
        <w:rPr>
          <w:rFonts w:hint="eastAsia" w:ascii="Times New Roman" w:hAnsi="Times New Roman" w:cs="Times New Roman"/>
          <w:color w:val="auto"/>
          <w:kern w:val="0"/>
          <w:sz w:val="24"/>
          <w:szCs w:val="24"/>
          <w:highlight w:val="none"/>
          <w:lang w:val="en-US" w:eastAsia="zh-CN" w:bidi="ar"/>
        </w:rPr>
        <w:t>14.5km</w:t>
      </w:r>
      <w:r>
        <w:rPr>
          <w:rFonts w:hint="default" w:ascii="Times New Roman" w:hAnsi="Times New Roman" w:eastAsia="宋体" w:cs="Times New Roman"/>
          <w:color w:val="auto"/>
          <w:kern w:val="0"/>
          <w:sz w:val="24"/>
          <w:szCs w:val="24"/>
          <w:highlight w:val="none"/>
          <w:lang w:val="en-US" w:eastAsia="zh-CN" w:bidi="ar"/>
        </w:rPr>
        <w:t>。根据</w:t>
      </w:r>
      <w:r>
        <w:rPr>
          <w:rFonts w:hint="default" w:ascii="Times New Roman" w:hAnsi="Times New Roman" w:eastAsia="宋体" w:cs="Times New Roman"/>
          <w:color w:val="auto"/>
          <w:lang w:val="en-US" w:eastAsia="zh-CN"/>
        </w:rPr>
        <w:t>土地利用规划审查图，用地性质为城镇用地，并于202</w:t>
      </w:r>
      <w:r>
        <w:rPr>
          <w:rFonts w:hint="eastAsia" w:ascii="Times New Roman" w:hAnsi="Times New Roman" w:cs="Times New Roman"/>
          <w:color w:val="auto"/>
          <w:lang w:val="en-US" w:eastAsia="zh-CN"/>
        </w:rPr>
        <w:t>1</w:t>
      </w:r>
      <w:r>
        <w:rPr>
          <w:rFonts w:hint="default" w:ascii="Times New Roman" w:hAnsi="Times New Roman" w:eastAsia="宋体" w:cs="Times New Roman"/>
          <w:color w:val="auto"/>
          <w:lang w:val="en-US" w:eastAsia="zh-CN"/>
        </w:rPr>
        <w:t>年取得了苍溪县行政审批局出具的用地预审和选址意见的说明。</w:t>
      </w:r>
    </w:p>
    <w:p>
      <w:pPr>
        <w:keepNext w:val="0"/>
        <w:keepLines w:val="0"/>
        <w:pageBreakBefore w:val="0"/>
        <w:kinsoku/>
        <w:wordWrap/>
        <w:overflowPunct/>
        <w:topLinePunct w:val="0"/>
        <w:bidi w:val="0"/>
        <w:snapToGrid/>
        <w:spacing w:line="480" w:lineRule="exact"/>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2.1、“三线一单”符合性</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根据《四川省人民政府关于&lt;印发四川省生态保护红线方案&gt;的通知》（川府发〔2018〕24号），明确四川省生态保护红线空间分布格局呈“四轴九核”，分为5大类13个区块，总面积为14.80万km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占全省幅员面积的30.45%，主涵盖了水源涵养、生物多样性维护、水土保持功能极重要区，水土流失、土地沙化、石漠化极敏感区，自然保护区、森林公园的生态保育区和核心景观区，风景名胜区的一级保护区（核心景区）、地质公园的地质遗迹保护区、世界自然遗产地的核心区、湿地公园的湿地保育区和恢复重建区、饮用水水源保护区的一级保护区、水产种质资源保护区的核心区等法定保护区域，以及极小种群物种分布栖息地、国家一级公益林、重要湿地、雪山冰川、高原冻土、重要水生生境、特大和大型地质灾害隐患点等各类保护地。</w:t>
      </w:r>
    </w:p>
    <w:p>
      <w:pPr>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四川省生态保护红线主要分布于川西高山高原、川西南山地和盆周山地，分布格局为“四轴九核”。“四轴”指大巴山、金沙江下游干热河谷、川东南山地以及盆中丘陵区，呈带状分布；“九核”指若尔盖湿地（黄河源）、雅砻江源、大渡河源以及大雪山、沙鲁里山、岷山、邛崃山、凉山—相岭、锦屏山，以水系、山系为骨架集中成片分布。</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sz w:val="24"/>
        </w:rPr>
        <w:t>《四川省生态保护红线方案》明确13个红线区块中，属于水源涵养功能的2个——雅砻江源水源涵养红线区、大渡河源水源涵养红线区；属于生物多样性保护功能的2个——沙鲁里山生物多样性生态保护红线、邛崃山生物多样性维护生态保护红线；属于水土流失保护功能的1个——金沙江下游干热河谷水土流失敏感生态保护红线；属于石漠化保护功能的1个——川东南石漠化敏感生态保护红线；属于双重功能的7个——若盖尔湿地水源涵养-生物多样性维护生态保护红线、大雪山生物多样性保护-水土保持生态保护红线、岷山生物多样性维护-水源涵养生态保护红线（都江堰市、彭州市、什邡市、绵竹市、绵阳市安州区、北川羌族自治县、平武县、江油市、青川县、剑阁县、汶川县、理县、茂县、松潘县、九寨沟县、黑水县、若尔盖县）、凉山-相岭生物多样性维护-水土保持生态保护红线、锦屏山水源涵养-水土保持生态保护红线、大巴山生物多样性维护-水源涵养生态保护红线、盆中城市饮用水源-水土保持生态保护红线（成都市、自贡市、德阳市、绵阳市、广元市、遂宁市、内江市、乐山市、南充市、眉山市、广安市、达州市、巴中市、资阳市）。</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2020 年 6 月 28日，四川省人民政府发布了《关于落实生态保护红线、环境质量底线、资源利用上线制定生态环境准入清单实施生态环境分区管控的通知》（川府发〔2020〕9 号），旨在落实生态保护红线、环境质量底线、资源利用上线，制定生态环境准入清单，建立生态环境分区管控体系并监督实施。川府发〔2020〕9 号文中生态环境分区管控及其要求：“按照省委“一干多支、五区协同”的区域发展战略部署，立足五大经济区的区域特征、发展定位及突出生态环境问题，将全省行政区域从生态环境保护角度划分为优先保护、重点管控和一般管控三类环境管控单元。优先保护单元指以生态环境保护为主的区域，主要包括生态保护红线、自然保护地、饮用水水源保护区等，应以生态环境保护优先为原则，严格执行相关法律、法规要求，严守生态环境质量底线，确保生态环境功能不降低。重点管控单元指涉及水、大气、土壤、自然资源等资源环境要素重点管控的区域，应不断提升资源利用效率，有针对性地加强污染物排放控制和环境风险防控，解决生态环境质量不达标、生态环境风险高等问题。一般管控单元指除优先保护单元和重点管控单元之外的其他区域，主要落实生态环境保护基本要求。”经分析，本工程位于广元市苍溪县境内，属五大经济区中的“川东北经济区”，管控单元类型为“一般管控单元”。</w:t>
      </w:r>
    </w:p>
    <w:p>
      <w:pPr>
        <w:pStyle w:val="2"/>
        <w:jc w:val="both"/>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生态保护红线符合性：根据四川省人民政府《关于印发四川省生态保护红线方案的通知》（川府发〔2018〕24号），该文件对全省各市区的生态保护红线进行了划定。项目位于</w:t>
      </w:r>
      <w:r>
        <w:rPr>
          <w:rFonts w:hint="default" w:ascii="Times New Roman" w:hAnsi="Times New Roman" w:eastAsia="宋体" w:cs="Times New Roman"/>
          <w:color w:val="auto"/>
          <w:sz w:val="24"/>
          <w:lang w:eastAsia="zh-CN"/>
        </w:rPr>
        <w:t>广元市苍溪县境</w:t>
      </w:r>
      <w:r>
        <w:rPr>
          <w:rFonts w:hint="default" w:ascii="Times New Roman" w:hAnsi="Times New Roman" w:eastAsia="宋体" w:cs="Times New Roman"/>
          <w:color w:val="auto"/>
          <w:sz w:val="24"/>
        </w:rPr>
        <w:t>内，不涉及生态保护红线。</w:t>
      </w:r>
    </w:p>
    <w:p>
      <w:pPr>
        <w:spacing w:line="360" w:lineRule="auto"/>
        <w:ind w:firstLine="482"/>
        <w:jc w:val="center"/>
        <w:rPr>
          <w:rFonts w:hint="default" w:ascii="Times New Roman" w:hAnsi="Times New Roman" w:eastAsia="宋体" w:cs="Times New Roman"/>
          <w:color w:val="auto"/>
          <w:sz w:val="24"/>
          <w:lang w:eastAsia="zh-CN"/>
        </w:rPr>
      </w:pPr>
      <w:r>
        <w:rPr>
          <w:rFonts w:hint="default" w:ascii="Times New Roman" w:hAnsi="Times New Roman" w:cs="Times New Roman"/>
          <w:color w:val="auto"/>
        </w:rPr>
        <w:drawing>
          <wp:inline distT="0" distB="0" distL="114300" distR="114300">
            <wp:extent cx="5133975" cy="3592830"/>
            <wp:effectExtent l="0" t="0" r="9525" b="762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8"/>
                    <a:srcRect l="10015" t="20484" r="40058" b="17388"/>
                    <a:stretch>
                      <a:fillRect/>
                    </a:stretch>
                  </pic:blipFill>
                  <pic:spPr>
                    <a:xfrm>
                      <a:off x="0" y="0"/>
                      <a:ext cx="5133975" cy="3592830"/>
                    </a:xfrm>
                    <a:prstGeom prst="rect">
                      <a:avLst/>
                    </a:prstGeom>
                    <a:noFill/>
                    <a:ln>
                      <a:noFill/>
                    </a:ln>
                  </pic:spPr>
                </pic:pic>
              </a:graphicData>
            </a:graphic>
          </wp:inline>
        </w:drawing>
      </w:r>
    </w:p>
    <w:p>
      <w:pPr>
        <w:spacing w:line="360" w:lineRule="auto"/>
        <w:ind w:firstLine="482"/>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eastAsia="zh-CN"/>
        </w:rPr>
        <w:t>图</w:t>
      </w:r>
      <w:r>
        <w:rPr>
          <w:rFonts w:hint="default" w:ascii="Times New Roman" w:hAnsi="Times New Roman" w:eastAsia="宋体" w:cs="Times New Roman"/>
          <w:b/>
          <w:bCs/>
          <w:color w:val="auto"/>
          <w:sz w:val="24"/>
          <w:szCs w:val="24"/>
          <w:lang w:val="en-US" w:eastAsia="zh-CN"/>
        </w:rPr>
        <w:t>2.1-1 项目位置与广元市生态红线分布图相对位置图</w:t>
      </w:r>
    </w:p>
    <w:p>
      <w:pPr>
        <w:keepNext w:val="0"/>
        <w:keepLines w:val="0"/>
        <w:widowControl/>
        <w:suppressLineNumbers w:val="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kern w:val="0"/>
          <w:sz w:val="24"/>
          <w:szCs w:val="24"/>
          <w:lang w:val="en-US" w:eastAsia="zh-CN" w:bidi="ar"/>
        </w:rPr>
        <w:t>经对照《长江经济带战略环境评价四川省广元市“三线一单”生态环境分区管控优化完善研究报告》中广元市生态保护红线图可知，本项目选址不在广元市生态红线范围内。</w:t>
      </w:r>
    </w:p>
    <w:p>
      <w:pPr>
        <w:keepNext w:val="0"/>
        <w:keepLines w:val="0"/>
        <w:widowControl/>
        <w:suppressLineNumbers w:val="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资源利用上</w:t>
      </w:r>
      <w:r>
        <w:rPr>
          <w:rFonts w:hint="default" w:ascii="Times New Roman" w:hAnsi="Times New Roman" w:eastAsia="宋体" w:cs="Times New Roman"/>
          <w:color w:val="auto"/>
          <w:sz w:val="24"/>
          <w:lang w:eastAsia="zh-CN"/>
        </w:rPr>
        <w:t>限</w:t>
      </w:r>
      <w:r>
        <w:rPr>
          <w:rFonts w:hint="default" w:ascii="Times New Roman" w:hAnsi="Times New Roman" w:eastAsia="宋体" w:cs="Times New Roman"/>
          <w:color w:val="auto"/>
          <w:sz w:val="24"/>
        </w:rPr>
        <w:t>符合性：</w:t>
      </w:r>
      <w:r>
        <w:rPr>
          <w:rFonts w:hint="default" w:ascii="Times New Roman" w:hAnsi="Times New Roman" w:eastAsia="宋体" w:cs="Times New Roman"/>
          <w:color w:val="auto"/>
          <w:lang w:val="en-US" w:eastAsia="zh-CN"/>
        </w:rPr>
        <w:t>资源是环境的载体，资源利用上线是各地区能源、水、土地等资源消耗不得突破的“天花板”。</w:t>
      </w:r>
      <w:r>
        <w:rPr>
          <w:rFonts w:hint="default" w:ascii="Times New Roman" w:hAnsi="Times New Roman" w:eastAsia="宋体" w:cs="Times New Roman"/>
          <w:color w:val="auto"/>
          <w:kern w:val="0"/>
          <w:sz w:val="24"/>
          <w:szCs w:val="24"/>
          <w:lang w:val="en-US" w:eastAsia="zh-CN" w:bidi="ar"/>
        </w:rPr>
        <w:t>根据建设方案，本项目所在区域水资源能支撑项目实施，本项目产生废水优先回用不外排，尽量减少新鲜水用量；本项目总占地面积 46.23hm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，以临时占地为主，施工期间将有部分灌木林地及耕地斑块转换为施工裸露斑块，土地利用结构将产生一定变化，这种变化随着临时占地的恢复将逐渐恢复，最终对区域土地利用格局影响较小。</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sz w:val="24"/>
        </w:rPr>
        <w:t>环境质量底线符合性：</w:t>
      </w:r>
      <w:r>
        <w:rPr>
          <w:rFonts w:hint="default" w:ascii="Times New Roman" w:hAnsi="Times New Roman" w:eastAsia="宋体" w:cs="Times New Roman"/>
          <w:color w:val="auto"/>
          <w:kern w:val="0"/>
          <w:sz w:val="24"/>
          <w:szCs w:val="24"/>
          <w:lang w:val="en-US" w:eastAsia="zh-CN" w:bidi="ar"/>
        </w:rPr>
        <w:t>本项目所在区域的苍溪县 PM</w:t>
      </w:r>
      <w:r>
        <w:rPr>
          <w:rFonts w:hint="default" w:ascii="Times New Roman" w:hAnsi="Times New Roman" w:eastAsia="宋体" w:cs="Times New Roman"/>
          <w:color w:val="auto"/>
          <w:kern w:val="0"/>
          <w:sz w:val="16"/>
          <w:szCs w:val="16"/>
          <w:lang w:val="en-US" w:eastAsia="zh-CN" w:bidi="ar"/>
        </w:rPr>
        <w:t>2.5</w:t>
      </w:r>
      <w:r>
        <w:rPr>
          <w:rFonts w:hint="default" w:ascii="Times New Roman" w:hAnsi="Times New Roman" w:eastAsia="宋体" w:cs="Times New Roman"/>
          <w:color w:val="auto"/>
          <w:kern w:val="0"/>
          <w:sz w:val="24"/>
          <w:szCs w:val="24"/>
          <w:lang w:val="en-US" w:eastAsia="zh-CN" w:bidi="ar"/>
        </w:rPr>
        <w:t>的年平均质量浓度超过《环境空气质量标准》（GB3095-2012）二级标准要求，为不达标区。本项目施工期采取抑尘措施，营运期控制放空次数，可有效减少本项目 PM</w:t>
      </w:r>
      <w:r>
        <w:rPr>
          <w:rFonts w:hint="default" w:ascii="Times New Roman" w:hAnsi="Times New Roman" w:eastAsia="宋体" w:cs="Times New Roman"/>
          <w:color w:val="auto"/>
          <w:kern w:val="0"/>
          <w:sz w:val="16"/>
          <w:szCs w:val="16"/>
          <w:lang w:val="en-US" w:eastAsia="zh-CN" w:bidi="ar"/>
        </w:rPr>
        <w:t xml:space="preserve">2.5 </w:t>
      </w:r>
      <w:r>
        <w:rPr>
          <w:rFonts w:hint="default" w:ascii="Times New Roman" w:hAnsi="Times New Roman" w:eastAsia="宋体" w:cs="Times New Roman"/>
          <w:color w:val="auto"/>
          <w:kern w:val="0"/>
          <w:sz w:val="24"/>
          <w:szCs w:val="24"/>
          <w:lang w:val="en-US" w:eastAsia="zh-CN" w:bidi="ar"/>
        </w:rPr>
        <w:t xml:space="preserve">对区域环境的影响。 </w:t>
      </w:r>
    </w:p>
    <w:p>
      <w:pPr>
        <w:keepNext w:val="0"/>
        <w:keepLines w:val="0"/>
        <w:widowControl/>
        <w:suppressLineNumbers w:val="0"/>
        <w:jc w:val="left"/>
        <w:rPr>
          <w:rFonts w:hint="default" w:ascii="Times New Roman" w:hAnsi="Times New Roman" w:cs="Times New Roman"/>
          <w:color w:val="auto"/>
          <w:lang w:val="en-US" w:eastAsia="zh-CN"/>
        </w:rPr>
      </w:pPr>
      <w:r>
        <w:rPr>
          <w:rFonts w:hint="default" w:ascii="Times New Roman" w:hAnsi="Times New Roman" w:eastAsia="宋体" w:cs="Times New Roman"/>
          <w:color w:val="auto"/>
          <w:lang w:val="en-US" w:eastAsia="zh-CN"/>
        </w:rPr>
        <w:t>项目所在区域</w:t>
      </w:r>
      <w:r>
        <w:rPr>
          <w:rFonts w:hint="default" w:ascii="Times New Roman" w:hAnsi="Times New Roman" w:cs="Times New Roman"/>
          <w:color w:val="auto"/>
          <w:lang w:val="en-US" w:eastAsia="zh-CN"/>
        </w:rPr>
        <w:t>地表水</w:t>
      </w:r>
      <w:r>
        <w:rPr>
          <w:rFonts w:hint="default" w:ascii="Times New Roman" w:hAnsi="Times New Roman" w:eastAsia="宋体" w:cs="Times New Roman"/>
          <w:color w:val="auto"/>
          <w:lang w:val="en-US" w:eastAsia="zh-CN"/>
        </w:rPr>
        <w:t>环境质量</w:t>
      </w:r>
      <w:r>
        <w:rPr>
          <w:rFonts w:hint="default" w:ascii="Times New Roman" w:hAnsi="Times New Roman" w:cs="Times New Roman"/>
          <w:color w:val="auto"/>
          <w:lang w:val="en-US" w:eastAsia="zh-CN"/>
        </w:rPr>
        <w:t>满足</w:t>
      </w:r>
      <w:r>
        <w:rPr>
          <w:rFonts w:hint="default" w:ascii="Times New Roman" w:hAnsi="Times New Roman" w:eastAsia="宋体" w:cs="Times New Roman"/>
          <w:color w:val="auto"/>
          <w:lang w:val="en-US" w:eastAsia="zh-CN"/>
        </w:rPr>
        <w:t>《地表水环境质量标准》（GB3838-2002）III类水域标准，</w:t>
      </w:r>
      <w:r>
        <w:rPr>
          <w:rFonts w:hint="default" w:ascii="Times New Roman" w:hAnsi="Times New Roman" w:cs="Times New Roman"/>
          <w:color w:val="auto"/>
          <w:lang w:val="en-US" w:eastAsia="zh-CN"/>
        </w:rPr>
        <w:t>本项目施工废水回用，施工期生活污水依托现有污水处理设施处理，不外排；营运期陵江清管站生活污水经处理后用于厂区绿化或农肥，元坝作业区生活污水进入市政管网，元坝首站依托原有废水处理设施处理，对外环境影响较小。</w:t>
      </w:r>
    </w:p>
    <w:p>
      <w:pPr>
        <w:keepNext w:val="0"/>
        <w:keepLines w:val="0"/>
        <w:widowControl/>
        <w:suppressLineNumbers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项目区域地下水环境质量满足</w:t>
      </w:r>
      <w:r>
        <w:rPr>
          <w:rFonts w:hint="default" w:ascii="Times New Roman" w:hAnsi="Times New Roman" w:eastAsia="宋体" w:cs="Times New Roman"/>
          <w:color w:val="auto"/>
          <w:lang w:val="en-US" w:eastAsia="zh-CN"/>
        </w:rPr>
        <w:t>《地下水质量标准》（GB/T14848-2017）III类水质标准，</w:t>
      </w:r>
      <w:r>
        <w:rPr>
          <w:rFonts w:hint="default" w:ascii="Times New Roman" w:hAnsi="Times New Roman" w:cs="Times New Roman"/>
          <w:color w:val="auto"/>
          <w:lang w:val="en-US" w:eastAsia="zh-CN"/>
        </w:rPr>
        <w:t>施工期注意设施油污管理、施工废水回用管理、弃渣等管理；营运期注意站场防渗等对地下水环境影响较小。</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lang w:val="en-US" w:eastAsia="zh-CN"/>
        </w:rPr>
        <w:t>项目区域声环境质量满足</w:t>
      </w:r>
      <w:r>
        <w:rPr>
          <w:rFonts w:hint="default" w:ascii="Times New Roman" w:hAnsi="Times New Roman" w:eastAsia="宋体" w:cs="Times New Roman"/>
          <w:color w:val="auto"/>
          <w:lang w:val="en-US" w:eastAsia="zh-CN"/>
        </w:rPr>
        <w:t>《声环境质量标准》（GB3096-2008）2类标准</w:t>
      </w:r>
      <w:r>
        <w:rPr>
          <w:rFonts w:hint="default" w:ascii="Times New Roman" w:hAnsi="Times New Roman" w:cs="Times New Roman"/>
          <w:color w:val="auto"/>
          <w:lang w:val="en-US" w:eastAsia="zh-CN"/>
        </w:rPr>
        <w:t>，</w:t>
      </w:r>
      <w:r>
        <w:rPr>
          <w:rFonts w:hint="default" w:ascii="Times New Roman" w:hAnsi="Times New Roman" w:eastAsia="宋体" w:cs="Times New Roman"/>
          <w:color w:val="auto"/>
          <w:kern w:val="0"/>
          <w:sz w:val="24"/>
          <w:szCs w:val="24"/>
          <w:lang w:val="en-US" w:eastAsia="zh-CN" w:bidi="ar"/>
        </w:rPr>
        <w:t xml:space="preserve">本项目施工期间噪声对周围环境的影响为短暂影响，随着工程的完工，噪声影响消失，不会对当地声环境产生较大影响。 </w:t>
      </w:r>
    </w:p>
    <w:p>
      <w:pPr>
        <w:keepNext w:val="0"/>
        <w:keepLines w:val="0"/>
        <w:widowControl/>
        <w:suppressLineNumbers w:val="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kern w:val="0"/>
          <w:sz w:val="24"/>
          <w:szCs w:val="24"/>
          <w:lang w:val="en-US" w:eastAsia="zh-CN" w:bidi="ar"/>
        </w:rPr>
        <w:t>综上，本项目的建设未突破区域的环境质量底线。</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①工程建设与水环境功能区划的相符性分析</w:t>
      </w:r>
    </w:p>
    <w:p>
      <w:pPr>
        <w:keepNext w:val="0"/>
        <w:keepLines w:val="0"/>
        <w:widowControl/>
        <w:suppressLineNumbers w:val="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lang w:val="en-US" w:eastAsia="zh-CN"/>
        </w:rPr>
        <w:t>本工程施工期施工废水经循环后回用，清管废水沉淀后外排，清管废水本身取自自然水体，经工程使用后不会含大量污染物，因此可以直排入非敏感性水域</w:t>
      </w:r>
      <w:r>
        <w:rPr>
          <w:rFonts w:hint="default" w:ascii="Times New Roman" w:hAnsi="Times New Roman" w:eastAsia="宋体" w:cs="Times New Roman"/>
          <w:color w:val="auto"/>
          <w:kern w:val="0"/>
          <w:sz w:val="24"/>
          <w:szCs w:val="24"/>
          <w:lang w:val="en-US" w:eastAsia="zh-CN" w:bidi="ar"/>
        </w:rPr>
        <w:t>；营运期管段本身不向水体排污，新建的站场生活污水经处理后用于绿化，不外排，因此可以得出工程建设</w:t>
      </w:r>
      <w:r>
        <w:rPr>
          <w:rFonts w:hint="default" w:ascii="Times New Roman" w:hAnsi="Times New Roman" w:eastAsia="宋体" w:cs="Times New Roman"/>
          <w:color w:val="auto"/>
          <w:lang w:val="en-US" w:eastAsia="zh-CN"/>
        </w:rPr>
        <w:t>不会改变临近水体水环境功能类别，符合区域水环境功能区划要求</w:t>
      </w:r>
    </w:p>
    <w:p>
      <w:pPr>
        <w:keepNext w:val="0"/>
        <w:keepLines w:val="0"/>
        <w:widowControl/>
        <w:suppressLineNumbers w:val="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lang w:val="en-US" w:eastAsia="zh-CN"/>
        </w:rPr>
        <w:t>②工程建设与大气环境功能区划的相符性分析</w:t>
      </w:r>
    </w:p>
    <w:p>
      <w:pPr>
        <w:keepNext w:val="0"/>
        <w:keepLines w:val="0"/>
        <w:widowControl/>
        <w:suppressLineNumbers w:val="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lang w:val="en-US" w:eastAsia="zh-CN"/>
        </w:rPr>
        <w:t>工程建设区环境空气功能区为二类区。</w:t>
      </w:r>
      <w:r>
        <w:rPr>
          <w:rFonts w:hint="default" w:ascii="Times New Roman" w:hAnsi="Times New Roman" w:eastAsia="宋体" w:cs="Times New Roman"/>
          <w:color w:val="auto"/>
          <w:sz w:val="24"/>
        </w:rPr>
        <w:t>根据</w:t>
      </w:r>
      <w:r>
        <w:rPr>
          <w:rFonts w:hint="default" w:ascii="Times New Roman" w:hAnsi="Times New Roman" w:eastAsia="宋体" w:cs="Times New Roman"/>
          <w:color w:val="auto"/>
          <w:kern w:val="0"/>
          <w:sz w:val="24"/>
          <w:szCs w:val="24"/>
          <w:lang w:val="en-US" w:eastAsia="zh-CN" w:bidi="ar"/>
        </w:rPr>
        <w:t>《苍溪县 2019 年度环境状况公报》</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eastAsia="zh-CN"/>
        </w:rPr>
        <w:t>项目建设</w:t>
      </w:r>
      <w:r>
        <w:rPr>
          <w:rFonts w:hint="default" w:ascii="Times New Roman" w:hAnsi="Times New Roman" w:eastAsia="宋体" w:cs="Times New Roman"/>
          <w:color w:val="auto"/>
          <w:sz w:val="24"/>
        </w:rPr>
        <w:t>区域环境空气质量属于非达标区，但是同时实施限期达标规划满足环境质量底线的要求。</w:t>
      </w:r>
      <w:r>
        <w:rPr>
          <w:rFonts w:hint="default" w:ascii="Times New Roman" w:hAnsi="Times New Roman" w:eastAsia="宋体" w:cs="Times New Roman"/>
          <w:color w:val="auto"/>
          <w:sz w:val="24"/>
          <w:lang w:eastAsia="zh-CN"/>
        </w:rPr>
        <w:t>工程</w:t>
      </w:r>
      <w:r>
        <w:rPr>
          <w:rFonts w:hint="default" w:ascii="Times New Roman" w:hAnsi="Times New Roman" w:eastAsia="宋体" w:cs="Times New Roman"/>
          <w:color w:val="auto"/>
          <w:sz w:val="24"/>
        </w:rPr>
        <w:t>建设期</w:t>
      </w:r>
      <w:r>
        <w:rPr>
          <w:rFonts w:hint="default" w:ascii="Times New Roman" w:hAnsi="Times New Roman" w:eastAsia="宋体" w:cs="Times New Roman"/>
          <w:color w:val="auto"/>
          <w:sz w:val="24"/>
          <w:lang w:eastAsia="zh-CN"/>
        </w:rPr>
        <w:t>不可避免的会产生扬尘等大气污染物，短期的影响工程沿线大气环境质量，但这种会影响随工期结束而消失，同时施工期</w:t>
      </w:r>
      <w:r>
        <w:rPr>
          <w:rFonts w:hint="default" w:ascii="Times New Roman" w:hAnsi="Times New Roman" w:eastAsia="宋体" w:cs="Times New Roman"/>
          <w:color w:val="auto"/>
          <w:sz w:val="24"/>
        </w:rPr>
        <w:t>通过有效的污染防治措施，能够</w:t>
      </w:r>
      <w:r>
        <w:rPr>
          <w:rFonts w:hint="default" w:ascii="Times New Roman" w:hAnsi="Times New Roman" w:eastAsia="宋体" w:cs="Times New Roman"/>
          <w:color w:val="auto"/>
          <w:sz w:val="24"/>
          <w:lang w:eastAsia="zh-CN"/>
        </w:rPr>
        <w:t>有效控制污染物对大气环境的影响；工程正常营运期不对大气排放污染物，因此</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eastAsia="zh-CN"/>
        </w:rPr>
        <w:t>工程建设</w:t>
      </w:r>
      <w:r>
        <w:rPr>
          <w:rFonts w:hint="default" w:ascii="Times New Roman" w:hAnsi="Times New Roman" w:eastAsia="宋体" w:cs="Times New Roman"/>
          <w:color w:val="auto"/>
          <w:sz w:val="24"/>
        </w:rPr>
        <w:t>不会改变区域</w:t>
      </w:r>
      <w:r>
        <w:rPr>
          <w:rFonts w:hint="default" w:ascii="Times New Roman" w:hAnsi="Times New Roman" w:eastAsia="宋体" w:cs="Times New Roman"/>
          <w:color w:val="auto"/>
          <w:sz w:val="24"/>
          <w:lang w:eastAsia="zh-CN"/>
        </w:rPr>
        <w:t>大气</w:t>
      </w:r>
      <w:r>
        <w:rPr>
          <w:rFonts w:hint="default" w:ascii="Times New Roman" w:hAnsi="Times New Roman" w:eastAsia="宋体" w:cs="Times New Roman"/>
          <w:color w:val="auto"/>
          <w:sz w:val="24"/>
        </w:rPr>
        <w:t>环境功能类别，</w:t>
      </w:r>
      <w:r>
        <w:rPr>
          <w:rFonts w:hint="default" w:ascii="Times New Roman" w:hAnsi="Times New Roman" w:eastAsia="宋体" w:cs="Times New Roman"/>
          <w:color w:val="auto"/>
          <w:sz w:val="24"/>
          <w:lang w:eastAsia="zh-CN"/>
        </w:rPr>
        <w:t>对区域大气环境质量影响较小</w:t>
      </w:r>
      <w:r>
        <w:rPr>
          <w:rFonts w:hint="default" w:ascii="Times New Roman" w:hAnsi="Times New Roman" w:eastAsia="宋体" w:cs="Times New Roman"/>
          <w:color w:val="auto"/>
          <w:sz w:val="24"/>
        </w:rPr>
        <w:t>。</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③项目与声环境功能区的相符性分析</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所在区域为2类声环境功能区，工程本身为地埋式管道运输工程，新建的陵江清管站属于无人常驻的站场，工程营运期对周围声环境影响较小，不会改变区域声环境功能区类别，符合区域声环境功能区保护要求。</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④项目与地下水环境功能区划的相符性分析</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评价区域地下水环境执行《地下水质量标准》（GB/T14848-2017）III类水质标准；项目在做好相应防渗工作的前提下，营运期正常工况下不会对地下水环境质量产生明显不利影响，不会改变区域地下水环境功能类别。</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综上所述，本工程的建设不会突破当地环境质量底线。</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sz w:val="24"/>
        </w:rPr>
        <w:t>环境准入负面清单符合性：</w:t>
      </w:r>
      <w:r>
        <w:rPr>
          <w:rFonts w:hint="default" w:ascii="Times New Roman" w:hAnsi="Times New Roman" w:eastAsia="宋体" w:cs="Times New Roman"/>
          <w:color w:val="auto"/>
          <w:kern w:val="0"/>
          <w:sz w:val="24"/>
          <w:szCs w:val="24"/>
          <w:lang w:val="en-US" w:eastAsia="zh-CN" w:bidi="ar"/>
        </w:rPr>
        <w:t>环境准入负面清单是基于生态保护红线、环境质量底线和资源利用上线，以清单方式列出的禁止、限制等差别化环境准入条件和要求。本工程为天然气输气管道工程。本项目位于苍溪县。根据《四川省国家重点生态功能区产业准入负面清单（第一批）（试行）》、《四川省重点生态功能区产业准入负面清单(第二批)（试行）》，本项目不涉及《四川省国家重点生态功能区产业准入负面清单（第一批）（试行）》42 个市县、《四川省重点生态功能区产业准入负面清单(第二批)（试行）》15 个县。因此，不属于区域环境准入负面清单行业内容。本项目根据“国家发展改革委商务部关于印发《市场准入负面清单（2018 年版）》的通知”（发改经体〔2018〕1892 号），本项目不属于禁止准入类，符合该文件相关要求</w:t>
      </w:r>
    </w:p>
    <w:p>
      <w:pPr>
        <w:keepNext w:val="0"/>
        <w:keepLines w:val="0"/>
        <w:pageBreakBefore w:val="0"/>
        <w:kinsoku/>
        <w:wordWrap/>
        <w:overflowPunct/>
        <w:topLinePunct w:val="0"/>
        <w:bidi w:val="0"/>
        <w:snapToGrid/>
        <w:spacing w:line="480" w:lineRule="exact"/>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color w:val="auto"/>
          <w:sz w:val="24"/>
        </w:rPr>
        <w:t>综上，</w:t>
      </w:r>
      <w:r>
        <w:rPr>
          <w:rFonts w:hint="default" w:ascii="Times New Roman" w:hAnsi="Times New Roman" w:eastAsia="宋体" w:cs="Times New Roman"/>
          <w:color w:val="auto"/>
          <w:sz w:val="24"/>
          <w:lang w:eastAsia="zh-CN"/>
        </w:rPr>
        <w:t>本工程</w:t>
      </w:r>
      <w:r>
        <w:rPr>
          <w:rFonts w:hint="default" w:ascii="Times New Roman" w:hAnsi="Times New Roman" w:eastAsia="宋体" w:cs="Times New Roman"/>
          <w:color w:val="auto"/>
          <w:sz w:val="24"/>
        </w:rPr>
        <w:t>与生态保护红线，环境质量底线，资源利用上限中相关规划相符合，不属于环境准入负面清单上的项目，符合“三线一单”的要求。</w:t>
      </w:r>
    </w:p>
    <w:p>
      <w:pPr>
        <w:keepNext w:val="0"/>
        <w:keepLines w:val="0"/>
        <w:pageBreakBefore w:val="0"/>
        <w:kinsoku/>
        <w:wordWrap/>
        <w:overflowPunct/>
        <w:topLinePunct w:val="0"/>
        <w:bidi w:val="0"/>
        <w:snapToGrid/>
        <w:spacing w:line="480" w:lineRule="exact"/>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2.2与《长江经济带战略环境评价四川省“三线一单”编制初步成果》符合性</w:t>
      </w:r>
    </w:p>
    <w:p>
      <w:pPr>
        <w:keepNext w:val="0"/>
        <w:keepLines w:val="0"/>
        <w:pageBreakBefore w:val="0"/>
        <w:kinsoku/>
        <w:wordWrap/>
        <w:overflowPunct/>
        <w:topLinePunct w:val="0"/>
        <w:bidi w:val="0"/>
        <w:snapToGrid/>
        <w:spacing w:line="480" w:lineRule="exact"/>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color w:val="auto"/>
          <w:sz w:val="24"/>
          <w:lang w:val="en-US" w:eastAsia="zh-CN"/>
        </w:rPr>
        <w:t>根据《长江经济带战略环境评价四川省“三线一单”编制初步成果》，本项目位于广元市苍溪县境内，属五大经济区中的“川东北经济区”，管控单元类型为“一般管控单元”</w:t>
      </w:r>
      <w:r>
        <w:rPr>
          <w:rFonts w:hint="eastAsia" w:ascii="Times New Roman" w:hAnsi="Times New Roman" w:cs="Times New Roman"/>
          <w:color w:val="auto"/>
          <w:sz w:val="24"/>
          <w:lang w:val="en-US" w:eastAsia="zh-CN"/>
        </w:rPr>
        <w:t>，符合相关要求。</w:t>
      </w:r>
      <w:r>
        <w:rPr>
          <w:rFonts w:hint="default" w:ascii="Times New Roman" w:hAnsi="Times New Roman" w:eastAsia="宋体" w:cs="Times New Roman"/>
          <w:color w:val="auto"/>
          <w:sz w:val="24"/>
          <w:lang w:val="en-US" w:eastAsia="zh-CN"/>
        </w:rPr>
        <w:t xml:space="preserve"> </w:t>
      </w:r>
    </w:p>
    <w:p>
      <w:pPr>
        <w:keepNext w:val="0"/>
        <w:keepLines w:val="0"/>
        <w:pageBreakBefore w:val="0"/>
        <w:kinsoku/>
        <w:wordWrap/>
        <w:overflowPunct/>
        <w:topLinePunct w:val="0"/>
        <w:bidi w:val="0"/>
        <w:snapToGrid/>
        <w:spacing w:line="480" w:lineRule="exact"/>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sz w:val="24"/>
          <w:lang w:val="en-US" w:eastAsia="zh-CN"/>
        </w:rPr>
        <w:t>2.</w:t>
      </w:r>
      <w:r>
        <w:rPr>
          <w:rFonts w:hint="default" w:ascii="Times New Roman" w:hAnsi="Times New Roman" w:cs="Times New Roman"/>
          <w:b/>
          <w:bCs/>
          <w:color w:val="auto"/>
          <w:sz w:val="24"/>
          <w:lang w:val="en-US" w:eastAsia="zh-CN"/>
        </w:rPr>
        <w:t>3</w:t>
      </w:r>
      <w:r>
        <w:rPr>
          <w:rFonts w:hint="default" w:ascii="Times New Roman" w:hAnsi="Times New Roman" w:eastAsia="宋体" w:cs="Times New Roman"/>
          <w:b/>
          <w:bCs/>
          <w:color w:val="auto"/>
          <w:sz w:val="24"/>
          <w:lang w:eastAsia="zh-CN"/>
        </w:rPr>
        <w:t>《四川省长江经济带发展负面清单实施细则（试行）》符合性分析</w:t>
      </w:r>
      <w:r>
        <w:rPr>
          <w:rFonts w:hint="default" w:ascii="Times New Roman" w:hAnsi="Times New Roman" w:eastAsia="宋体" w:cs="Times New Roman"/>
          <w:b/>
          <w:bCs/>
          <w:color w:val="auto"/>
          <w:sz w:val="24"/>
        </w:rPr>
        <w:t>分析</w:t>
      </w:r>
    </w:p>
    <w:p>
      <w:pPr>
        <w:keepNext w:val="0"/>
        <w:keepLines w:val="0"/>
        <w:pageBreakBefore w:val="0"/>
        <w:kinsoku/>
        <w:wordWrap/>
        <w:overflowPunct/>
        <w:topLinePunct w:val="0"/>
        <w:bidi w:val="0"/>
        <w:snapToGrid/>
        <w:spacing w:line="480" w:lineRule="exact"/>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表2.</w:t>
      </w:r>
      <w:r>
        <w:rPr>
          <w:rFonts w:hint="default" w:ascii="Times New Roman" w:hAnsi="Times New Roman" w:cs="Times New Roman"/>
          <w:b/>
          <w:bCs/>
          <w:color w:val="auto"/>
          <w:sz w:val="24"/>
          <w:szCs w:val="24"/>
          <w:lang w:val="en-US" w:eastAsia="zh-CN"/>
        </w:rPr>
        <w:t>3</w:t>
      </w: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lang w:eastAsia="zh-CN"/>
        </w:rPr>
        <w:t>《四川省长江经济带发展负面清单实施细则（试行）》符合性分析</w:t>
      </w:r>
      <w:r>
        <w:rPr>
          <w:rFonts w:hint="default" w:ascii="Times New Roman" w:hAnsi="Times New Roman" w:eastAsia="宋体" w:cs="Times New Roman"/>
          <w:b/>
          <w:bCs/>
          <w:color w:val="auto"/>
          <w:sz w:val="24"/>
          <w:szCs w:val="24"/>
        </w:rPr>
        <w:t>分析</w:t>
      </w:r>
    </w:p>
    <w:tbl>
      <w:tblPr>
        <w:tblStyle w:val="24"/>
        <w:tblW w:w="4998" w:type="pct"/>
        <w:tblInd w:w="0" w:type="dxa"/>
        <w:shd w:val="clear" w:color="auto" w:fill="auto"/>
        <w:tblLayout w:type="fixed"/>
        <w:tblCellMar>
          <w:top w:w="0" w:type="dxa"/>
          <w:left w:w="108" w:type="dxa"/>
          <w:bottom w:w="0" w:type="dxa"/>
          <w:right w:w="108" w:type="dxa"/>
        </w:tblCellMar>
      </w:tblPr>
      <w:tblGrid>
        <w:gridCol w:w="752"/>
        <w:gridCol w:w="4822"/>
        <w:gridCol w:w="2760"/>
        <w:gridCol w:w="836"/>
      </w:tblGrid>
      <w:tr>
        <w:tblPrEx>
          <w:shd w:val="clear" w:color="auto" w:fill="auto"/>
          <w:tblCellMar>
            <w:top w:w="0" w:type="dxa"/>
            <w:left w:w="108" w:type="dxa"/>
            <w:bottom w:w="0" w:type="dxa"/>
            <w:right w:w="108" w:type="dxa"/>
          </w:tblCellMar>
        </w:tblPrEx>
        <w:trPr>
          <w:trHeight w:val="810" w:hRule="atLeast"/>
        </w:trPr>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条例</w:t>
            </w:r>
          </w:p>
        </w:tc>
        <w:tc>
          <w:tcPr>
            <w:tcW w:w="26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《四川省长江经济带发展负面清单实施细则（试行）》内容</w:t>
            </w:r>
          </w:p>
        </w:tc>
        <w:tc>
          <w:tcPr>
            <w:tcW w:w="15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本工程情况</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符合性</w:t>
            </w:r>
          </w:p>
        </w:tc>
      </w:tr>
      <w:tr>
        <w:tblPrEx>
          <w:shd w:val="clear" w:color="auto" w:fill="auto"/>
          <w:tblCellMar>
            <w:top w:w="0" w:type="dxa"/>
            <w:left w:w="108" w:type="dxa"/>
            <w:bottom w:w="0" w:type="dxa"/>
            <w:right w:w="108" w:type="dxa"/>
          </w:tblCellMar>
        </w:tblPrEx>
        <w:trPr>
          <w:trHeight w:val="2510" w:hRule="atLeast"/>
        </w:trPr>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第十条</w:t>
            </w:r>
          </w:p>
        </w:tc>
        <w:tc>
          <w:tcPr>
            <w:tcW w:w="26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禁止在饮用水水源准保护区的岸线和河段范围内新建、扩建对水体污染严重的建设项目；改建建设项目不得增加排污量。禁止在饮用水水源准保护区的岸线和河段范围内设置化工原料、矿物油类及有毒有害矿产品的贮存场所，以及生活垃圾、 工业固体废物和危险废物的堆放场所和转运站</w:t>
            </w:r>
          </w:p>
        </w:tc>
        <w:tc>
          <w:tcPr>
            <w:tcW w:w="15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工程选线穿越东河处位于广元市苍溪县中土镇人和村梨苑滩水电站下游约380m 处，穿越点距离云峰镇王渡社区取水口上游3.2km 处，位于云峰镇王渡社区饮用水源二级保护区范围内，项目下穿河道，为管道运输天然气项目，不属于污染型项目</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符合</w:t>
            </w:r>
          </w:p>
        </w:tc>
      </w:tr>
      <w:tr>
        <w:tblPrEx>
          <w:shd w:val="clear" w:color="auto" w:fill="auto"/>
          <w:tblCellMar>
            <w:top w:w="0" w:type="dxa"/>
            <w:left w:w="108" w:type="dxa"/>
            <w:bottom w:w="0" w:type="dxa"/>
            <w:right w:w="108" w:type="dxa"/>
          </w:tblCellMar>
        </w:tblPrEx>
        <w:trPr>
          <w:trHeight w:val="1709" w:hRule="atLeast"/>
        </w:trPr>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第十一条</w:t>
            </w:r>
          </w:p>
        </w:tc>
        <w:tc>
          <w:tcPr>
            <w:tcW w:w="26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在饮用水水源二级保护区的岸线和河段范围内</w:t>
            </w:r>
            <w:r>
              <w:rPr>
                <w:rFonts w:hint="eastAsia"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除应遵守准保护区规定外，禁止新建、改建、扩建排放污染物的 建设项目；禁止从事经营性取土和采石（砂）等活动；禁止从事网箱养殖、施肥养鱼等污染饮用水水体的活动；禁止铺设输送污 水、油类、有毒有害物品的管道。</w:t>
            </w:r>
          </w:p>
        </w:tc>
        <w:tc>
          <w:tcPr>
            <w:tcW w:w="15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项目正常营运不向东河排污，运输介质为天然气，为清洁能源，不属于有毒有害品</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符合</w:t>
            </w:r>
          </w:p>
        </w:tc>
      </w:tr>
      <w:tr>
        <w:tblPrEx>
          <w:shd w:val="clear" w:color="auto" w:fill="auto"/>
          <w:tblCellMar>
            <w:top w:w="0" w:type="dxa"/>
            <w:left w:w="108" w:type="dxa"/>
            <w:bottom w:w="0" w:type="dxa"/>
            <w:right w:w="108" w:type="dxa"/>
          </w:tblCellMar>
        </w:tblPrEx>
        <w:trPr>
          <w:trHeight w:val="1405" w:hRule="atLeast"/>
        </w:trPr>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第十六条</w:t>
            </w:r>
          </w:p>
        </w:tc>
        <w:tc>
          <w:tcPr>
            <w:tcW w:w="26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禁止在《长江岸线保护和开发利用总体规划》划定的岸线保护区内投资建设除保障防洪安全、河势稳定、供水安全以及保护生态环境、已建重要枢纽工程以外的项目。</w:t>
            </w:r>
          </w:p>
        </w:tc>
        <w:tc>
          <w:tcPr>
            <w:tcW w:w="15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本工程选址选线均未涉及《长江岸线保护和开发利用总体规划》划定的岸线保护区</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符合</w:t>
            </w:r>
          </w:p>
        </w:tc>
      </w:tr>
      <w:tr>
        <w:tblPrEx>
          <w:shd w:val="clear" w:color="auto" w:fill="auto"/>
          <w:tblCellMar>
            <w:top w:w="0" w:type="dxa"/>
            <w:left w:w="108" w:type="dxa"/>
            <w:bottom w:w="0" w:type="dxa"/>
            <w:right w:w="108" w:type="dxa"/>
          </w:tblCellMar>
        </w:tblPrEx>
        <w:trPr>
          <w:trHeight w:val="1523" w:hRule="atLeast"/>
        </w:trPr>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第十九条</w:t>
            </w:r>
          </w:p>
        </w:tc>
        <w:tc>
          <w:tcPr>
            <w:tcW w:w="26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禁止在生态保护红线范围内投资建设除国家重大战略资源勘查项目、生态保护修复和环境治理项目、重大基础设施项目、军事国防项目以及农牧民基本生产生活等必要的民生项目以外的项目</w:t>
            </w:r>
          </w:p>
        </w:tc>
        <w:tc>
          <w:tcPr>
            <w:tcW w:w="15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本工程选址选线均不涉及生态红线</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符合</w:t>
            </w:r>
          </w:p>
        </w:tc>
      </w:tr>
      <w:tr>
        <w:tblPrEx>
          <w:tblCellMar>
            <w:top w:w="0" w:type="dxa"/>
            <w:left w:w="108" w:type="dxa"/>
            <w:bottom w:w="0" w:type="dxa"/>
            <w:right w:w="108" w:type="dxa"/>
          </w:tblCellMar>
        </w:tblPrEx>
        <w:trPr>
          <w:trHeight w:val="1686" w:hRule="atLeast"/>
        </w:trPr>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第二十五条</w:t>
            </w:r>
          </w:p>
        </w:tc>
        <w:tc>
          <w:tcPr>
            <w:tcW w:w="26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禁止新建、扩建法律法规和相关政策明令禁止 的落后产能项目。对《产业结构调整指导目录》中淘汰类项目， 禁止投资；限制类的新建项目，禁止投资，对属于限制类的现有 生产能力，允许企业在一定期限内采取措施改造升级</w:t>
            </w:r>
          </w:p>
        </w:tc>
        <w:tc>
          <w:tcPr>
            <w:tcW w:w="15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项目属于鼓励类</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符合</w:t>
            </w:r>
          </w:p>
        </w:tc>
      </w:tr>
    </w:tbl>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综上，本工程不属于区域环境准入负面清单行业内容，不属于《市场准入负面清单（2018年版）》禁止准入类，并符合《四川省长江经济带发展负面清单实 施细则（试行）》中相关要求。</w:t>
      </w:r>
    </w:p>
    <w:p>
      <w:pPr>
        <w:keepNext w:val="0"/>
        <w:keepLines w:val="0"/>
        <w:pageBreakBefore w:val="0"/>
        <w:kinsoku/>
        <w:wordWrap/>
        <w:overflowPunct/>
        <w:topLinePunct w:val="0"/>
        <w:bidi w:val="0"/>
        <w:snapToGrid/>
        <w:spacing w:line="480" w:lineRule="exact"/>
        <w:textAlignment w:val="auto"/>
        <w:rPr>
          <w:rFonts w:hint="default" w:ascii="Times New Roman" w:hAnsi="Times New Roman" w:cs="Times New Roman"/>
          <w:b/>
          <w:bCs/>
          <w:color w:val="auto"/>
          <w:sz w:val="24"/>
          <w:lang w:val="en-US" w:eastAsia="zh-CN"/>
        </w:rPr>
      </w:pPr>
      <w:r>
        <w:rPr>
          <w:rFonts w:hint="default" w:ascii="Times New Roman" w:hAnsi="Times New Roman" w:eastAsia="宋体" w:cs="Times New Roman"/>
          <w:b/>
          <w:bCs/>
          <w:color w:val="auto"/>
          <w:sz w:val="24"/>
          <w:lang w:val="en-US" w:eastAsia="zh-CN"/>
        </w:rPr>
        <w:t>2.</w:t>
      </w:r>
      <w:r>
        <w:rPr>
          <w:rFonts w:hint="default" w:ascii="Times New Roman" w:hAnsi="Times New Roman" w:cs="Times New Roman"/>
          <w:b/>
          <w:bCs/>
          <w:color w:val="auto"/>
          <w:sz w:val="24"/>
          <w:lang w:val="en-US" w:eastAsia="zh-CN"/>
        </w:rPr>
        <w:t>4与《关于落实生态保护红线、环境质量底线、资源利用上线制定生态环境准入清单实施生态环境分区管控的通知》（川府发〔2020〕9 号）符合性分析</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2020年6月28日，四川省人民政府发布了《关于落实生态保护红线、环境质量底线、资源利用上线制定生态环境准入清单实施生态环境分区管控的通知》（川府发〔2020〕9 号），旨在落实生态保护红线、环境质量底线、资源利用上线，制定生态环境准入清单，建立生态环境分区管控体系并监督实施。川府发〔2020〕9 号文中生态环境分区管控及其要求：“按照省委“一干多支、五区协同”的区域发展战略部署，立足五大经济区的区域特征、发展定位及突出生态环境问题，将全省行政区域从生态环境保护角度划分为优先保护、重点管控和一般管控三类环境管控单元。优先保护单元指以生态环境保护为主的区域，主要包括生态保护红线、自然保护地、饮用水水源保护区等，应以生态环境保护优先为原则，严格执行相关法律、法规要求，严守生态环境质量底线，确保生态环境功能不降低。重点管控单元指涉及水、大气、土壤、自然资源等资源环境要素重点管控的区域，应不断提升资源利用效率，有针对性地加强污染物排放控制和环境风险防控，解决生态环境质量不达标、生态环境风险高等问题。一般管控单元指除优先保护单元和重点管控单元之外的其他区域，主要落实生态环境保护基本要求。”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经分析，本项目位于广元市苍溪县境内，属五大经济区中的“川东北经济区”，管控单元类型为“重点管控单元”。经前文预测分析，本工程各阶段“三废”排放及噪声排放能够达到相应标准要求或妥善处置；施工作业噪声是临时的，在采取合理措施（加强与受噪声影响农户的协调和沟通工作）等措施后，施工期噪声对井场周围的居民影响能达到可接受程度；在项目施工和运营阶段落实本报告中提出的各项保护和监测措施后建设对周围生态环境影响较小，项目建设不改变区域环境功能。因此，本项目符合四川省“三线一单”相关环保要求。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由此可见，本项目符合《关于落实生态保护红线、环境质量底线、资源利用上线制定生态环境准入清单实施生态环境分区管控的通知》（川府发〔2020〕9 号）相关要求。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综上，本项目建设符合“三线一单”的要求。 </w:t>
      </w:r>
    </w:p>
    <w:p>
      <w:pPr>
        <w:keepNext w:val="0"/>
        <w:keepLines w:val="0"/>
        <w:pageBreakBefore w:val="0"/>
        <w:kinsoku/>
        <w:wordWrap/>
        <w:overflowPunct/>
        <w:topLinePunct w:val="0"/>
        <w:bidi w:val="0"/>
        <w:snapToGrid/>
        <w:spacing w:line="480" w:lineRule="exact"/>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3、与敏感区控制因素符合性分析</w:t>
      </w:r>
    </w:p>
    <w:p>
      <w:pPr>
        <w:keepNext w:val="0"/>
        <w:keepLines w:val="0"/>
        <w:pageBreakBefore w:val="0"/>
        <w:kinsoku/>
        <w:wordWrap/>
        <w:overflowPunct/>
        <w:topLinePunct w:val="0"/>
        <w:bidi w:val="0"/>
        <w:snapToGrid/>
        <w:spacing w:line="480" w:lineRule="exact"/>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饮用水水源保护区设置情况</w:t>
      </w:r>
    </w:p>
    <w:p>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2015年广元市人民政府办公室以“</w:t>
      </w:r>
      <w:r>
        <w:rPr>
          <w:rFonts w:hint="default" w:ascii="Times New Roman" w:hAnsi="Times New Roman" w:cs="Times New Roman"/>
          <w:color w:val="auto"/>
          <w:kern w:val="0"/>
          <w:sz w:val="24"/>
          <w:szCs w:val="24"/>
          <w:lang w:val="en-US" w:eastAsia="zh-CN" w:bidi="ar"/>
        </w:rPr>
        <w:t>广</w:t>
      </w:r>
      <w:r>
        <w:rPr>
          <w:rFonts w:hint="default" w:ascii="Times New Roman" w:hAnsi="Times New Roman" w:eastAsia="宋体" w:cs="Times New Roman"/>
          <w:color w:val="auto"/>
          <w:kern w:val="0"/>
          <w:sz w:val="24"/>
          <w:szCs w:val="24"/>
          <w:lang w:val="en-US" w:eastAsia="zh-CN" w:bidi="ar"/>
        </w:rPr>
        <w:t>府办函〔2015〕128号</w:t>
      </w:r>
      <w:r>
        <w:rPr>
          <w:rFonts w:hint="default" w:ascii="Times New Roman" w:hAnsi="Times New Roman" w:cs="Times New Roman"/>
          <w:color w:val="auto"/>
          <w:kern w:val="0"/>
          <w:sz w:val="24"/>
          <w:szCs w:val="24"/>
          <w:lang w:val="en-US" w:eastAsia="zh-CN" w:bidi="ar"/>
        </w:rPr>
        <w:t>”《广元市人民政府办公室-关于同意调整苍溪县文昌镇等15个乡镇(社区)-集中式饮用水水源保护区的批复》，将东河云峰镇王渡社区段划为饮用水水源保护区。取水水源为东河，取水口坐标为北纬31°44′43.17″，东经106°5′16.54″。</w:t>
      </w:r>
    </w:p>
    <w:p>
      <w:pPr>
        <w:spacing w:line="360" w:lineRule="auto"/>
        <w:ind w:firstLine="480" w:firstLineChars="200"/>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rPr>
        <w:t>一级保护区为：</w:t>
      </w:r>
      <w:r>
        <w:rPr>
          <w:rFonts w:hint="default" w:ascii="Times New Roman" w:hAnsi="Times New Roman" w:cs="Times New Roman"/>
          <w:color w:val="auto"/>
          <w:sz w:val="24"/>
          <w:szCs w:val="24"/>
          <w:lang w:eastAsia="zh-CN"/>
        </w:rPr>
        <w:t>水域范围：</w:t>
      </w:r>
      <w:r>
        <w:rPr>
          <w:rFonts w:hint="default" w:ascii="Times New Roman" w:hAnsi="Times New Roman" w:cs="Times New Roman"/>
          <w:color w:val="auto"/>
          <w:sz w:val="24"/>
          <w:szCs w:val="24"/>
        </w:rPr>
        <w:t>取水口下游100m至取水口上游1000m，</w:t>
      </w:r>
      <w:r>
        <w:rPr>
          <w:rFonts w:hint="default" w:ascii="Times New Roman" w:hAnsi="Times New Roman" w:cs="Times New Roman"/>
          <w:color w:val="auto"/>
          <w:sz w:val="24"/>
          <w:szCs w:val="24"/>
          <w:lang w:eastAsia="zh-CN"/>
        </w:rPr>
        <w:t>全部</w:t>
      </w:r>
      <w:r>
        <w:rPr>
          <w:rFonts w:hint="default" w:ascii="Times New Roman" w:hAnsi="Times New Roman" w:cs="Times New Roman"/>
          <w:color w:val="auto"/>
          <w:sz w:val="24"/>
          <w:szCs w:val="24"/>
        </w:rPr>
        <w:t>水域范围；陆域范围</w:t>
      </w:r>
      <w:r>
        <w:rPr>
          <w:rFonts w:hint="default" w:ascii="Times New Roman" w:hAnsi="Times New Roman" w:cs="Times New Roman"/>
          <w:color w:val="auto"/>
          <w:sz w:val="24"/>
          <w:szCs w:val="24"/>
          <w:lang w:eastAsia="zh-CN"/>
        </w:rPr>
        <w:t>：水域长度范围内沿岸纵深至最高山脊线以内的陆域。</w:t>
      </w:r>
    </w:p>
    <w:p>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二级保护区为：</w:t>
      </w:r>
      <w:r>
        <w:rPr>
          <w:rFonts w:hint="default" w:ascii="Times New Roman" w:hAnsi="Times New Roman" w:cs="Times New Roman"/>
          <w:color w:val="auto"/>
          <w:sz w:val="24"/>
          <w:szCs w:val="24"/>
          <w:lang w:eastAsia="zh-CN"/>
        </w:rPr>
        <w:t>水域范围：一级保护区上游边界上延伸</w:t>
      </w:r>
      <w:r>
        <w:rPr>
          <w:rFonts w:hint="default" w:ascii="Times New Roman" w:hAnsi="Times New Roman" w:cs="Times New Roman"/>
          <w:color w:val="auto"/>
          <w:sz w:val="24"/>
          <w:szCs w:val="24"/>
          <w:lang w:val="en-US" w:eastAsia="zh-CN"/>
        </w:rPr>
        <w:t>2000m，下游边界下延伸200m全部水域；陆域范围：</w:t>
      </w:r>
      <w:r>
        <w:rPr>
          <w:rFonts w:hint="default" w:ascii="Times New Roman" w:hAnsi="Times New Roman" w:cs="Times New Roman"/>
          <w:color w:val="auto"/>
          <w:sz w:val="24"/>
          <w:szCs w:val="24"/>
          <w:lang w:eastAsia="zh-CN"/>
        </w:rPr>
        <w:t>水域长度范围内沿岸纵深至最高山脊线以内的陆域。</w:t>
      </w:r>
    </w:p>
    <w:p>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vertAlign w:val="baseline"/>
          <w:lang w:val="en-US" w:eastAsia="zh-CN"/>
        </w:rPr>
        <w:drawing>
          <wp:anchor distT="0" distB="0" distL="114300" distR="114300" simplePos="0" relativeHeight="251676672" behindDoc="0" locked="0" layoutInCell="1" allowOverlap="1">
            <wp:simplePos x="0" y="0"/>
            <wp:positionH relativeFrom="column">
              <wp:posOffset>375920</wp:posOffset>
            </wp:positionH>
            <wp:positionV relativeFrom="paragraph">
              <wp:posOffset>609600</wp:posOffset>
            </wp:positionV>
            <wp:extent cx="4893945" cy="4857115"/>
            <wp:effectExtent l="0" t="0" r="1905" b="635"/>
            <wp:wrapTopAndBottom/>
            <wp:docPr id="5" name="图片 5" descr="599b1dfde4d44024e397c5f61e288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99b1dfde4d44024e397c5f61e288e1"/>
                    <pic:cNvPicPr>
                      <a:picLocks noChangeAspect="1"/>
                    </pic:cNvPicPr>
                  </pic:nvPicPr>
                  <pic:blipFill>
                    <a:blip r:embed="rId9"/>
                    <a:stretch>
                      <a:fillRect/>
                    </a:stretch>
                  </pic:blipFill>
                  <pic:spPr>
                    <a:xfrm>
                      <a:off x="0" y="0"/>
                      <a:ext cx="4893945" cy="4857115"/>
                    </a:xfrm>
                    <a:prstGeom prst="rect">
                      <a:avLst/>
                    </a:prstGeom>
                  </pic:spPr>
                </pic:pic>
              </a:graphicData>
            </a:graphic>
          </wp:anchor>
        </w:drawing>
      </w:r>
      <w:r>
        <w:rPr>
          <w:rFonts w:hint="default" w:ascii="Times New Roman" w:hAnsi="Times New Roman" w:cs="Times New Roman"/>
          <w:color w:val="auto"/>
          <w:kern w:val="0"/>
          <w:sz w:val="24"/>
          <w:szCs w:val="24"/>
          <w:lang w:val="en-US" w:eastAsia="zh-CN" w:bidi="ar"/>
        </w:rPr>
        <w:t>本项目在云峰镇镇横穿东河，采用定向钻方式穿越，穿越位置与水源保护区位置关系如下：</w:t>
      </w:r>
    </w:p>
    <w:tbl>
      <w:tblPr>
        <w:tblStyle w:val="25"/>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1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174" w:type="dxa"/>
            <w:tcBorders>
              <w:tl2br w:val="nil"/>
              <w:tr2bl w:val="nil"/>
            </w:tcBorders>
          </w:tcPr>
          <w:p>
            <w:pPr>
              <w:pStyle w:val="2"/>
              <w:ind w:left="0" w:leftChars="0" w:firstLine="0" w:firstLineChars="0"/>
              <w:jc w:val="center"/>
              <w:rPr>
                <w:rFonts w:hint="default" w:ascii="Times New Roman" w:hAnsi="Times New Roman" w:cs="Times New Roman"/>
                <w:color w:val="auto"/>
                <w:vertAlign w:val="baseline"/>
                <w:lang w:val="en-US" w:eastAsia="zh-CN"/>
              </w:rPr>
            </w:pPr>
            <w:r>
              <w:rPr>
                <w:rFonts w:hint="default" w:ascii="Times New Roman" w:hAnsi="Times New Roman" w:eastAsia="宋体" w:cs="Times New Roman"/>
                <w:b/>
                <w:bCs/>
                <w:color w:val="auto"/>
                <w:sz w:val="24"/>
                <w:szCs w:val="24"/>
                <w:lang w:eastAsia="zh-CN"/>
              </w:rPr>
              <w:t>图</w:t>
            </w:r>
            <w:r>
              <w:rPr>
                <w:rFonts w:hint="default" w:ascii="Times New Roman" w:hAnsi="Times New Roman" w:eastAsia="宋体" w:cs="Times New Roman"/>
                <w:b/>
                <w:bCs/>
                <w:color w:val="auto"/>
                <w:sz w:val="24"/>
                <w:szCs w:val="24"/>
                <w:lang w:val="en-US" w:eastAsia="zh-CN"/>
              </w:rPr>
              <w:t>2.1-</w:t>
            </w:r>
            <w:r>
              <w:rPr>
                <w:rFonts w:hint="default" w:ascii="Times New Roman" w:hAnsi="Times New Roman" w:cs="Times New Roman"/>
                <w:b/>
                <w:bCs/>
                <w:color w:val="auto"/>
                <w:sz w:val="24"/>
                <w:szCs w:val="24"/>
                <w:lang w:val="en-US" w:eastAsia="zh-CN"/>
              </w:rPr>
              <w:t>2</w:t>
            </w:r>
            <w:r>
              <w:rPr>
                <w:rFonts w:hint="default" w:ascii="Times New Roman" w:hAnsi="Times New Roman" w:eastAsia="宋体" w:cs="Times New Roman"/>
                <w:b/>
                <w:bCs/>
                <w:color w:val="auto"/>
                <w:sz w:val="24"/>
                <w:szCs w:val="24"/>
                <w:lang w:val="en-US" w:eastAsia="zh-CN"/>
              </w:rPr>
              <w:t xml:space="preserve"> 项目位置与</w:t>
            </w:r>
            <w:r>
              <w:rPr>
                <w:rFonts w:hint="default" w:ascii="Times New Roman" w:hAnsi="Times New Roman" w:cs="Times New Roman"/>
                <w:b/>
                <w:bCs/>
                <w:color w:val="auto"/>
                <w:sz w:val="24"/>
                <w:szCs w:val="24"/>
                <w:lang w:val="en-US" w:eastAsia="zh-CN"/>
              </w:rPr>
              <w:t>东河饮用水水源保护区划分</w:t>
            </w:r>
            <w:r>
              <w:rPr>
                <w:rFonts w:hint="default" w:ascii="Times New Roman" w:hAnsi="Times New Roman" w:eastAsia="宋体" w:cs="Times New Roman"/>
                <w:b/>
                <w:bCs/>
                <w:color w:val="auto"/>
                <w:sz w:val="24"/>
                <w:szCs w:val="24"/>
                <w:lang w:val="en-US" w:eastAsia="zh-CN"/>
              </w:rPr>
              <w:t>相对位置图</w:t>
            </w:r>
          </w:p>
        </w:tc>
      </w:tr>
    </w:tbl>
    <w:p>
      <w:pPr>
        <w:spacing w:line="360" w:lineRule="auto"/>
        <w:ind w:firstLine="480" w:firstLineChars="200"/>
        <w:rPr>
          <w:rFonts w:hint="default" w:ascii="Times New Roman" w:hAnsi="Times New Roman" w:cs="Times New Roman"/>
          <w:b/>
          <w:color w:val="auto"/>
          <w:sz w:val="24"/>
          <w:szCs w:val="24"/>
        </w:rPr>
      </w:pPr>
      <w:r>
        <w:rPr>
          <w:rFonts w:hint="default" w:ascii="Times New Roman" w:hAnsi="Times New Roman" w:cs="Times New Roman"/>
          <w:color w:val="auto"/>
          <w:sz w:val="24"/>
          <w:szCs w:val="24"/>
        </w:rPr>
        <w:t>项目在该水源地保护区内</w:t>
      </w:r>
      <w:r>
        <w:rPr>
          <w:rFonts w:hint="default" w:ascii="Times New Roman" w:hAnsi="Times New Roman" w:cs="Times New Roman"/>
          <w:color w:val="auto"/>
          <w:sz w:val="24"/>
          <w:szCs w:val="24"/>
          <w:lang w:eastAsia="zh-CN"/>
        </w:rPr>
        <w:t>环评要求不能设置施工营地</w:t>
      </w:r>
      <w:r>
        <w:rPr>
          <w:rFonts w:hint="default" w:ascii="Times New Roman" w:hAnsi="Times New Roman" w:cs="Times New Roman"/>
          <w:color w:val="auto"/>
          <w:sz w:val="24"/>
          <w:szCs w:val="24"/>
        </w:rPr>
        <w:t>，在保护区中施工时，施工人员、建筑材料等需要采取增加运距的方式，如保护区内有适合民房</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可租用作为临时施工营地，避免对保护区的环境影响。弃渣场、临时施工营地设置应严格按项目水土保持方案报告书中的工程措施（挡墙）严格执行，避免对</w:t>
      </w:r>
      <w:r>
        <w:rPr>
          <w:rFonts w:hint="default" w:ascii="Times New Roman" w:hAnsi="Times New Roman" w:cs="Times New Roman"/>
          <w:color w:val="auto"/>
          <w:sz w:val="24"/>
          <w:szCs w:val="24"/>
          <w:lang w:eastAsia="zh-CN"/>
        </w:rPr>
        <w:t>东河</w:t>
      </w:r>
      <w:r>
        <w:rPr>
          <w:rFonts w:hint="default" w:ascii="Times New Roman" w:hAnsi="Times New Roman" w:cs="Times New Roman"/>
          <w:color w:val="auto"/>
          <w:sz w:val="24"/>
          <w:szCs w:val="24"/>
        </w:rPr>
        <w:t>饮用水水源地的水环境造成影响。</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目前，我国和四川省内涉及饮用水源保护区内建设项目的法律法规包括：《中华人民共和国水法》（2016年修正）、《中华人民共和国水污染防治法》（2008年修订）、《饮用水水源保护区污染防治管理规定》（2010年修正）、《四川省饮用水水源保护管理条例》（201</w:t>
      </w:r>
      <w:r>
        <w:rPr>
          <w:rFonts w:hint="eastAsia" w:ascii="Times New Roman" w:hAnsi="Times New Roman" w:cs="Times New Roman"/>
          <w:color w:val="auto"/>
          <w:sz w:val="24"/>
          <w:szCs w:val="24"/>
          <w:lang w:val="en-US" w:eastAsia="zh-CN"/>
        </w:rPr>
        <w:t>9</w:t>
      </w:r>
      <w:r>
        <w:rPr>
          <w:rFonts w:hint="default" w:ascii="Times New Roman" w:hAnsi="Times New Roman" w:eastAsia="宋体" w:cs="Times New Roman"/>
          <w:color w:val="auto"/>
          <w:sz w:val="24"/>
          <w:szCs w:val="24"/>
        </w:rPr>
        <w:t>年修订）以及《关于&lt;水污染防治法&gt;中饮用水水源保护有关规定进行法律解释有关意见的复函》（环办函[2008]667号）。</w:t>
      </w:r>
    </w:p>
    <w:p>
      <w:pPr>
        <w:spacing w:line="360" w:lineRule="auto"/>
        <w:ind w:firstLine="482" w:firstLineChars="20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A、《中华人民共和国水法》（2016年7月修正）</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《中华人民共和国水法》（2016年7月修正）对饮用水水源保护区内建设项目的规定如下：</w:t>
      </w:r>
    </w:p>
    <w:p>
      <w:pPr>
        <w:spacing w:line="360" w:lineRule="auto"/>
        <w:ind w:firstLine="482"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b/>
          <w:color w:val="auto"/>
          <w:sz w:val="24"/>
          <w:szCs w:val="24"/>
        </w:rPr>
        <w:t>第三十三条</w:t>
      </w:r>
      <w:r>
        <w:rPr>
          <w:rFonts w:hint="default" w:ascii="Times New Roman" w:hAnsi="Times New Roman" w:eastAsia="宋体" w:cs="Times New Roman"/>
          <w:color w:val="auto"/>
          <w:sz w:val="24"/>
          <w:szCs w:val="24"/>
        </w:rPr>
        <w:t xml:space="preserve"> 国家建立饮用水水源保护区制度。省、自治州、直辖市人民政府应当划定饮用水水源保护区，并采取措施，防治水源枯竭和水体污染，保证城乡居民饮用水安全。</w:t>
      </w:r>
    </w:p>
    <w:p>
      <w:pPr>
        <w:spacing w:line="360" w:lineRule="auto"/>
        <w:ind w:firstLine="482"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b/>
          <w:color w:val="auto"/>
          <w:sz w:val="24"/>
          <w:szCs w:val="24"/>
        </w:rPr>
        <w:t>第三十四条</w:t>
      </w:r>
      <w:r>
        <w:rPr>
          <w:rFonts w:hint="default" w:ascii="Times New Roman" w:hAnsi="Times New Roman" w:eastAsia="宋体" w:cs="Times New Roman"/>
          <w:color w:val="auto"/>
          <w:sz w:val="24"/>
          <w:szCs w:val="24"/>
        </w:rPr>
        <w:t xml:space="preserve"> 禁止在饮用水水源保护区内设置排污口。</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在江河、湖泊新建、改建或者扩大排污口，应当经过有管辖权的水行政部门或者流域管理机构同意，由环境保护行政主管部门负责对该建设项目的水环境报告书进行审批。</w:t>
      </w:r>
    </w:p>
    <w:p>
      <w:pPr>
        <w:spacing w:line="360" w:lineRule="auto"/>
        <w:ind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本项目为非污染类建设项目，营运期不设置排污口，因此满足《中华人民共和国水法》的要求。</w:t>
      </w:r>
    </w:p>
    <w:p>
      <w:pPr>
        <w:spacing w:line="360" w:lineRule="auto"/>
        <w:ind w:firstLine="482" w:firstLineChars="20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B、《中华人民共和国水污染防治法》（2008年修订）</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《中华人民共和国水污染防治法》（2008年修订）对饮用水水源保护区内建设项目的规定如下：</w:t>
      </w:r>
    </w:p>
    <w:p>
      <w:pPr>
        <w:spacing w:line="360" w:lineRule="auto"/>
        <w:ind w:firstLine="482"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b/>
          <w:color w:val="auto"/>
          <w:sz w:val="24"/>
          <w:szCs w:val="24"/>
        </w:rPr>
        <w:t>第五十八条</w:t>
      </w:r>
      <w:r>
        <w:rPr>
          <w:rFonts w:hint="default" w:ascii="Times New Roman" w:hAnsi="Times New Roman" w:eastAsia="宋体" w:cs="Times New Roman"/>
          <w:color w:val="auto"/>
          <w:sz w:val="24"/>
          <w:szCs w:val="24"/>
        </w:rPr>
        <w:t xml:space="preserve"> 禁止在饮用水水源一级保护区内新建、改建、扩建与供水设施和保护水源无关的建设项目；已建成的与供水设施和保护水源无关的建设项目，由县级以上人民政府责令拆除或者关闭。</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禁止在饮用水水源一级保护区内从事网箱养殖、旅游、游泳、垂钓或者其他可能污染饮用水水体的活动。</w:t>
      </w:r>
    </w:p>
    <w:p>
      <w:pPr>
        <w:spacing w:line="360" w:lineRule="auto"/>
        <w:ind w:firstLine="482"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b/>
          <w:color w:val="auto"/>
          <w:sz w:val="24"/>
          <w:szCs w:val="24"/>
        </w:rPr>
        <w:t>第五十九条</w:t>
      </w:r>
      <w:r>
        <w:rPr>
          <w:rFonts w:hint="default" w:ascii="Times New Roman" w:hAnsi="Times New Roman" w:eastAsia="宋体" w:cs="Times New Roman"/>
          <w:color w:val="auto"/>
          <w:sz w:val="24"/>
          <w:szCs w:val="24"/>
        </w:rPr>
        <w:t xml:space="preserve"> 禁止在饮用水水源二级保护区内新建、改建、扩建排放污染物的建设项目；已建成的排放污染物的建设项目，由县级以上人民政府责令拆除或者关闭。</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在饮用水水源二级保护区内从事网箱养殖、旅游等活动的，应当按照规定采取措施，防治污染饮用水水体。</w:t>
      </w:r>
    </w:p>
    <w:p>
      <w:pPr>
        <w:spacing w:line="360" w:lineRule="auto"/>
        <w:ind w:firstLine="482"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b/>
          <w:color w:val="auto"/>
          <w:sz w:val="24"/>
          <w:szCs w:val="24"/>
        </w:rPr>
        <w:t>第六十条</w:t>
      </w:r>
      <w:r>
        <w:rPr>
          <w:rFonts w:hint="default" w:ascii="Times New Roman" w:hAnsi="Times New Roman" w:eastAsia="宋体" w:cs="Times New Roman"/>
          <w:color w:val="auto"/>
          <w:sz w:val="24"/>
          <w:szCs w:val="24"/>
        </w:rPr>
        <w:t xml:space="preserve"> 禁止在饮用水水源准保护区内新建、扩建对水体污染严重的建设项目，改建建设项目，不得增加排污量。</w:t>
      </w:r>
    </w:p>
    <w:p>
      <w:pPr>
        <w:spacing w:line="360" w:lineRule="auto"/>
        <w:ind w:firstLine="482" w:firstLineChars="20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C、《饮用水水源保护区污染防治管理规定》（20</w:t>
      </w:r>
      <w:r>
        <w:rPr>
          <w:rFonts w:hint="eastAsia" w:ascii="Times New Roman" w:hAnsi="Times New Roman" w:cs="Times New Roman"/>
          <w:b/>
          <w:color w:val="auto"/>
          <w:sz w:val="24"/>
          <w:szCs w:val="24"/>
          <w:lang w:val="en-US" w:eastAsia="zh-CN"/>
        </w:rPr>
        <w:t>10</w:t>
      </w:r>
      <w:r>
        <w:rPr>
          <w:rFonts w:hint="default" w:ascii="Times New Roman" w:hAnsi="Times New Roman" w:eastAsia="宋体" w:cs="Times New Roman"/>
          <w:b/>
          <w:color w:val="auto"/>
          <w:sz w:val="24"/>
          <w:szCs w:val="24"/>
        </w:rPr>
        <w:t>年修正）</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《饮用水水源保护区污染防治管理规定》（2010年修正）对饮用水水源保护区内建设项目的规定如下：</w:t>
      </w:r>
    </w:p>
    <w:p>
      <w:pPr>
        <w:spacing w:line="360" w:lineRule="auto"/>
        <w:ind w:firstLine="482"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b/>
          <w:color w:val="auto"/>
          <w:sz w:val="24"/>
          <w:szCs w:val="24"/>
        </w:rPr>
        <w:t>第十一条</w:t>
      </w:r>
      <w:r>
        <w:rPr>
          <w:rFonts w:hint="default" w:ascii="Times New Roman" w:hAnsi="Times New Roman" w:eastAsia="宋体" w:cs="Times New Roman"/>
          <w:color w:val="auto"/>
          <w:sz w:val="24"/>
          <w:szCs w:val="24"/>
        </w:rPr>
        <w:t xml:space="preserve"> 饮用水地表水源各级保护区及准保护区内均必须遵守下列规定:</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一、禁止一切破坏水环境生态平衡的活动以及破坏水源林、护岸林、与水源保护相关植被的活动。</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二、禁止向水域倾倒工业废渣、城市垃圾、粪便及其它废弃物。</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三、运输有毒有害物质、油类、粪便的船舶和车辆一般不准进入保护区，必须进入者应事先申请并经有关部门批准、登记并设置防渗、防溢、防漏设施。</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四、禁止使用剧毒和高残留农药，不得滥用化肥，不得使用炸药、毒品捕杀鱼类。</w:t>
      </w:r>
    </w:p>
    <w:p>
      <w:pPr>
        <w:spacing w:line="360" w:lineRule="auto"/>
        <w:ind w:firstLine="482"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b/>
          <w:color w:val="auto"/>
          <w:sz w:val="24"/>
          <w:szCs w:val="24"/>
        </w:rPr>
        <w:t>第十二条</w:t>
      </w:r>
      <w:r>
        <w:rPr>
          <w:rFonts w:hint="default" w:ascii="Times New Roman" w:hAnsi="Times New Roman" w:eastAsia="宋体" w:cs="Times New Roman"/>
          <w:color w:val="auto"/>
          <w:sz w:val="24"/>
          <w:szCs w:val="24"/>
        </w:rPr>
        <w:t xml:space="preserve"> 饮用水地表水源各级保护区及准保护区内必须分别遵守下列规定:</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一、一级保护区内</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禁止新建、扩建与供水设施和保护水源无关的建设项目；禁止向水域排放污水，已设置的排污口必须拆除；不得设置与供水需要无关的码头，禁止停靠船舶；禁止堆置和存放工业废渣、城市垃圾、粪便和其他废弃物；禁止设置油库；禁止从事种植、放养畜禽和网箱养殖活动；禁止可能污染水源的旅游活动和其他活动。</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二、二级保护区内</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禁止新建、改建、扩建排放污染物的建设项目；原有排污口依法拆除或者关闭；禁止设立装卸垃圾、粪便、油类和有毒物品的码头。</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三、准保护区内</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禁止新建、扩建对水体污染严重的建设项目；改建建设项目，不得增加排污量。</w:t>
      </w:r>
    </w:p>
    <w:p>
      <w:pPr>
        <w:spacing w:line="360" w:lineRule="auto"/>
        <w:ind w:firstLine="482" w:firstLineChars="20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D、《四川省饮用水水源保护管理条例》(201</w:t>
      </w:r>
      <w:r>
        <w:rPr>
          <w:rFonts w:hint="eastAsia" w:ascii="Times New Roman" w:hAnsi="Times New Roman" w:cs="Times New Roman"/>
          <w:b/>
          <w:color w:val="auto"/>
          <w:sz w:val="24"/>
          <w:szCs w:val="24"/>
          <w:lang w:val="en-US" w:eastAsia="zh-CN"/>
        </w:rPr>
        <w:t>9</w:t>
      </w:r>
      <w:r>
        <w:rPr>
          <w:rFonts w:hint="default" w:ascii="Times New Roman" w:hAnsi="Times New Roman" w:eastAsia="宋体" w:cs="Times New Roman"/>
          <w:b/>
          <w:color w:val="auto"/>
          <w:sz w:val="24"/>
          <w:szCs w:val="24"/>
        </w:rPr>
        <w:t>年修订)</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《四川省饮用水水源保护管理条例》(201</w:t>
      </w:r>
      <w:r>
        <w:rPr>
          <w:rFonts w:hint="eastAsia" w:ascii="Times New Roman" w:hAnsi="Times New Roman" w:cs="Times New Roman"/>
          <w:color w:val="auto"/>
          <w:sz w:val="24"/>
          <w:szCs w:val="24"/>
          <w:lang w:val="en-US" w:eastAsia="zh-CN"/>
        </w:rPr>
        <w:t>9</w:t>
      </w:r>
      <w:r>
        <w:rPr>
          <w:rFonts w:hint="default" w:ascii="Times New Roman" w:hAnsi="Times New Roman" w:eastAsia="宋体" w:cs="Times New Roman"/>
          <w:color w:val="auto"/>
          <w:sz w:val="24"/>
          <w:szCs w:val="24"/>
        </w:rPr>
        <w:t>年修订)对饮用水水源保护区内建设项目的规定如下：</w:t>
      </w:r>
    </w:p>
    <w:p>
      <w:pPr>
        <w:spacing w:line="360" w:lineRule="auto"/>
        <w:ind w:firstLine="482"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b/>
          <w:color w:val="auto"/>
          <w:sz w:val="24"/>
          <w:szCs w:val="24"/>
        </w:rPr>
        <w:t>第十六条</w:t>
      </w:r>
      <w:r>
        <w:rPr>
          <w:rFonts w:hint="default" w:ascii="Times New Roman" w:hAnsi="Times New Roman" w:eastAsia="宋体" w:cs="Times New Roman"/>
          <w:color w:val="auto"/>
          <w:sz w:val="24"/>
          <w:szCs w:val="24"/>
        </w:rPr>
        <w:t xml:space="preserve"> 在地表水饮用水水源保护区内，禁止设置排污口。</w:t>
      </w:r>
    </w:p>
    <w:p>
      <w:pPr>
        <w:spacing w:line="360" w:lineRule="auto"/>
        <w:ind w:firstLine="482"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b/>
          <w:color w:val="auto"/>
          <w:sz w:val="24"/>
          <w:szCs w:val="24"/>
        </w:rPr>
        <w:t>第十七条</w:t>
      </w:r>
      <w:r>
        <w:rPr>
          <w:rFonts w:hint="default" w:ascii="Times New Roman" w:hAnsi="Times New Roman" w:eastAsia="宋体" w:cs="Times New Roman"/>
          <w:color w:val="auto"/>
          <w:sz w:val="24"/>
          <w:szCs w:val="24"/>
        </w:rPr>
        <w:t xml:space="preserve"> 地表水饮用水水源准保护区内，应当遵守下列规定：</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（一）禁止新建、扩建对水体污染严重的建设项目；改建建设项目，不得增加排污量；</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（二）禁止向水体排放油类、酸液、碱液或者有毒废液；</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（三）禁止在水体清洗装贮过油类或者有毒污染物的车辆和容器；</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（四）禁止向水体排放、倾倒废水、含病原体的污水、放射性固体废物；</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（五）禁止向水体排放、倾倒工业废渣、城镇垃圾和医疗垃圾等其他废弃物；</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（六）禁止将含有汞、镉、砷、铬、铅、氰化物、黄磷等的可溶性剧毒废渣向水体排放、倾倒或者直接埋入地下；</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（七）禁止船舶向水体倾倒垃圾或者排放含油污水、生活污水；</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（八）禁止设置易溶性、有毒有害废弃物和危险废物的暂存和转运场所；禁止设置生活垃圾和工业固体废物的处置场所，生活垃圾转运站和工业固体废物暂存场所应当设置防护设施；</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九）禁止通行装载剧毒化学品或者危险废物的船舶、车辆。装载其他危险品的船舶、车辆确需驶入饮用水水源保护区内的，应当在驶入该区域的二十四小时前向当地海事管理机构或者公安机关交通管理部门报告，配备防止污染物散落、溢流、渗漏的设施设备，指定专人保障危险品运输安全；</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（十）禁止进行可能严重影响饮用水水源水质的矿产勘查、开采等活动；</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（十一）禁止非更新性、非抚育性采伐和破坏饮用水水源涵养林、护岸林和其他植被。</w:t>
      </w:r>
    </w:p>
    <w:p>
      <w:pPr>
        <w:spacing w:line="360" w:lineRule="auto"/>
        <w:ind w:firstLine="482"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b/>
          <w:color w:val="auto"/>
          <w:sz w:val="24"/>
          <w:szCs w:val="24"/>
        </w:rPr>
        <w:t>第十八条</w:t>
      </w:r>
      <w:r>
        <w:rPr>
          <w:rFonts w:hint="default" w:ascii="Times New Roman" w:hAnsi="Times New Roman" w:eastAsia="宋体" w:cs="Times New Roman"/>
          <w:color w:val="auto"/>
          <w:sz w:val="24"/>
          <w:szCs w:val="24"/>
        </w:rPr>
        <w:t xml:space="preserve"> 地表水饮用水水源二级保护区内，除遵守本条例第十七条规定外，还应当遵守下列规定：</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（一）禁止新建、改建、扩建排放污染物的建设项目；已建成的排放污染物的建设项目，由县级以上地方人民政府责令拆除或者关闭；</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（二）禁止从事经营性取土和采石（砂）等活动；</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（三）禁止围水造田；</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（四）禁止使用农药；禁止丢弃农药、农药包装物或者清洗施药器械；限制使用化肥；</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（五）禁止修建墓地；</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（六）禁止丢弃及掩埋动物尸体；</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（七）禁止从事网箱养殖、施肥养鱼和超标准养殖等污染饮用水水体的活动；</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（八）从事旅游等活动的，应当按照规定采取措施，防止污染饮用水水体；</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（九）道路、桥梁、码头及其他可能威胁饮用水水源安全的设施或者装置，应当设置独立的污染物收集、排放和处理系统及隔离设施。</w:t>
      </w:r>
    </w:p>
    <w:p>
      <w:pPr>
        <w:spacing w:line="360" w:lineRule="auto"/>
        <w:ind w:firstLine="482"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b/>
          <w:color w:val="auto"/>
          <w:sz w:val="24"/>
          <w:szCs w:val="24"/>
        </w:rPr>
        <w:t>第十九条</w:t>
      </w:r>
      <w:r>
        <w:rPr>
          <w:rFonts w:hint="default" w:ascii="Times New Roman" w:hAnsi="Times New Roman" w:eastAsia="宋体" w:cs="Times New Roman"/>
          <w:color w:val="auto"/>
          <w:sz w:val="24"/>
          <w:szCs w:val="24"/>
        </w:rPr>
        <w:t xml:space="preserve"> 地表水饮用水水源一级保护区内，除遵守本条例第十七条和第十八条规定外，还应当遵守下列规定：</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（一）禁止新建、改建、扩建与供水设施和保护水源无关的建设项目；已建成的与供水设施和保护水源无关的建设项目，由县级以上地方人民政府责令拆除或者关闭；</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（二）禁止使用化肥；</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（三）禁止设置畜禽养殖场；</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（四）禁止与保护水源无关的船舶停靠、装卸；</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（五）禁止在水体清洗机动车辆；</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（六）禁止从事旅游、游泳、垂钓或者其他污染饮用水水体的活动。</w:t>
      </w:r>
    </w:p>
    <w:p>
      <w:pPr>
        <w:spacing w:line="360" w:lineRule="auto"/>
        <w:ind w:firstLine="482" w:firstLineChars="20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E、《关于&lt;水污染防治法&gt;中饮用水水源保护有关规定进行法律解释有关意见的复函》(环办函(2008)667号)</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《关于&lt;水污染防治法&gt;中饮用水水源保护有关规定进行法律解释有关意见的复函》(环办函(2008)667号)对饮用水源保护区内建设项目解释如下:</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a、关于饮用水水源一级保护区内建设项目</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新《水污染防治法》第58条规定:禁止在饮用水水源一级保护区内新建、改建、扩建与供水设施和保护水源无关的建设项目；已建成的，由县级及以上人民政府责令拆除或者关闭。</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新《水污染防治法》上述规定，在饮用水水源一级保护区内只要与供水设施和保护水源无关的建设项目，一律禁止建设。但是，对于既无法调整饮用水水源和保护区，又确实避让不开的跨省公路、铁路、输油、输气和调水等重大公共基础设施项目，可以在充分论证的前提下批准建设。但必须具有饮用水水源应急预案，并在铺设线路方案上科学论证，从严要求，并采取防遗洒、防泄漏等措施，设置专用收集系统，对所收集的污水和固体废物进行异地处理和达标排放，而且应当对施工阶段提出严格的环保要求。</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b、关于饮用水源二级保护区内建设项目</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1、新《水污染防治法》第59条第一款规定:“禁止在饮用水水源二级保护区内新建、改建、扩建排放污染物的建设项目。”</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根据新《水污染防治法》立法目的和上述规定，“排放污染物的建设项目”，应当是指因排放废水、废气、废渣等污染物可能对水体产生影响的建设项目，包括排污口未设在保护区内的建设项目。</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2、新《水污染防治法》第59条第一款还规定：(在饮用水水源二级保护区内)“已建成的，由县级以上人民政府责令拆除或者关闭。”</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2000年3月20日开始施行的《水污染防治法实施细则》第23条规定:“禁止在生活饮用水地表水源二级保护区内新建、扩建向水体排放污染物的建设项目。改建项目，必须削减污染物排放量。”</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新《水污染防治法》和现行《水污染防治法实施细则》，在2000年3月20日《水污染防治法实施细则》施行后，在生活饮用水地表水源二级保护区内新建、扩建向水体排放污染物的建设项目，属于违法项目，因此应当依法作出予以拆除或者关闭的处罚决定。</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在《水污染防治法实施细则》施行前已经建成的向水体排放污染物的建设项目，应当根据新《水污染防治法》的规定，由当地人民政府合理、妥善安排，采取拆除或者关闭措施；对于在饮用水水源二级保护区内已建成的确实没有对水体产生影响的建设项目，按照合法行政、合理行政的要求，对此类建设项目进行管理。</w:t>
      </w:r>
    </w:p>
    <w:p>
      <w:pPr>
        <w:spacing w:line="360" w:lineRule="auto"/>
        <w:ind w:firstLine="482" w:firstLineChars="200"/>
        <w:rPr>
          <w:rFonts w:hint="default" w:ascii="Times New Roman" w:hAnsi="Times New Roman" w:cs="Times New Roman"/>
          <w:b/>
          <w:color w:val="auto"/>
          <w:sz w:val="24"/>
          <w:szCs w:val="24"/>
        </w:rPr>
      </w:pPr>
      <w:r>
        <w:rPr>
          <w:rFonts w:hint="default" w:ascii="Times New Roman" w:hAnsi="Times New Roman" w:cs="Times New Roman"/>
          <w:b/>
          <w:color w:val="auto"/>
          <w:sz w:val="24"/>
          <w:szCs w:val="24"/>
          <w:lang w:eastAsia="zh-CN"/>
        </w:rPr>
        <w:t>本项目为天然气输送管道，采用定向钻方式穿越</w:t>
      </w:r>
      <w:r>
        <w:rPr>
          <w:rFonts w:hint="default" w:ascii="Times New Roman" w:hAnsi="Times New Roman" w:cs="Times New Roman"/>
          <w:b/>
          <w:color w:val="auto"/>
          <w:sz w:val="24"/>
          <w:szCs w:val="24"/>
        </w:rPr>
        <w:t>饮用水水源地二级保护区，不涉及</w:t>
      </w:r>
      <w:r>
        <w:rPr>
          <w:rFonts w:hint="default" w:ascii="Times New Roman" w:hAnsi="Times New Roman" w:cs="Times New Roman"/>
          <w:b/>
          <w:color w:val="auto"/>
          <w:sz w:val="24"/>
          <w:szCs w:val="24"/>
          <w:lang w:eastAsia="zh-CN"/>
        </w:rPr>
        <w:t>东河</w:t>
      </w:r>
      <w:r>
        <w:rPr>
          <w:rFonts w:hint="default" w:ascii="Times New Roman" w:hAnsi="Times New Roman" w:cs="Times New Roman"/>
          <w:b/>
          <w:color w:val="auto"/>
          <w:sz w:val="24"/>
          <w:szCs w:val="24"/>
        </w:rPr>
        <w:t>饮用水水源地一级保护区，本项目于该饮用水水源地位置关系见图</w:t>
      </w:r>
      <w:r>
        <w:rPr>
          <w:rFonts w:hint="default" w:ascii="Times New Roman" w:hAnsi="Times New Roman" w:cs="Times New Roman"/>
          <w:b/>
          <w:color w:val="auto"/>
          <w:sz w:val="24"/>
          <w:szCs w:val="24"/>
          <w:lang w:val="en-US" w:eastAsia="zh-CN"/>
        </w:rPr>
        <w:t>2.1-2</w:t>
      </w:r>
      <w:r>
        <w:rPr>
          <w:rFonts w:hint="default" w:ascii="Times New Roman" w:hAnsi="Times New Roman" w:cs="Times New Roman"/>
          <w:b/>
          <w:color w:val="auto"/>
          <w:sz w:val="24"/>
          <w:szCs w:val="24"/>
        </w:rPr>
        <w:t>。</w:t>
      </w:r>
    </w:p>
    <w:p>
      <w:pPr>
        <w:spacing w:line="360" w:lineRule="auto"/>
        <w:ind w:firstLine="482" w:firstLineChars="20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根据《中华人民共和国水污染防治法》(2008年修订)、《饮用水水源保护区污染防治管理规定》(2010年修正)、《四川省饮用水水源保护管理条例》(201</w:t>
      </w:r>
      <w:r>
        <w:rPr>
          <w:rFonts w:hint="eastAsia" w:ascii="Times New Roman" w:hAnsi="Times New Roman" w:cs="Times New Roman"/>
          <w:b/>
          <w:color w:val="auto"/>
          <w:sz w:val="24"/>
          <w:szCs w:val="24"/>
          <w:lang w:val="en-US" w:eastAsia="zh-CN"/>
        </w:rPr>
        <w:t>9</w:t>
      </w:r>
      <w:r>
        <w:rPr>
          <w:rFonts w:hint="default" w:ascii="Times New Roman" w:hAnsi="Times New Roman" w:eastAsia="宋体" w:cs="Times New Roman"/>
          <w:b/>
          <w:color w:val="auto"/>
          <w:sz w:val="24"/>
          <w:szCs w:val="24"/>
        </w:rPr>
        <w:t>年修订)，在二级保护区内禁止新建、改建、扩建排放污染物的建设项目；已建成的排放污染物的建设项目，由县级以上地方人民政府责令拆除或者关闭。本项目不属于污染物排放项目，因此，本项目在二级保护区内建设在法律允许范围之内。</w:t>
      </w:r>
    </w:p>
    <w:p>
      <w:pPr>
        <w:keepNext w:val="0"/>
        <w:keepLines w:val="0"/>
        <w:pageBreakBefore w:val="0"/>
        <w:kinsoku/>
        <w:wordWrap/>
        <w:overflowPunct/>
        <w:topLinePunct w:val="0"/>
        <w:bidi w:val="0"/>
        <w:snapToGrid/>
        <w:spacing w:line="480" w:lineRule="exact"/>
        <w:textAlignment w:val="auto"/>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4</w:t>
      </w:r>
      <w:r>
        <w:rPr>
          <w:rFonts w:hint="default" w:ascii="Times New Roman" w:hAnsi="Times New Roman" w:eastAsia="宋体" w:cs="Times New Roman"/>
          <w:b/>
          <w:bCs/>
          <w:color w:val="auto"/>
          <w:lang w:val="en-US" w:eastAsia="zh-CN"/>
        </w:rPr>
        <w:t>、外环境关系</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据现场踏勘发现：</w:t>
      </w:r>
      <w:r>
        <w:rPr>
          <w:rFonts w:hint="default" w:ascii="Times New Roman" w:hAnsi="Times New Roman" w:eastAsia="宋体" w:cs="Times New Roman"/>
          <w:color w:val="auto"/>
          <w:kern w:val="0"/>
          <w:sz w:val="24"/>
          <w:szCs w:val="24"/>
          <w:lang w:val="en-US" w:eastAsia="zh-CN" w:bidi="ar"/>
        </w:rPr>
        <w:t>本工程线路起于广元市苍溪县元坝镇元坝净化厂内的元坝首站，元坝首站为扩建站，有道路直达。终点位于苍溪县陵江镇六包村，有乡</w:t>
      </w:r>
      <w:r>
        <w:rPr>
          <w:rFonts w:hint="eastAsia" w:ascii="Times New Roman" w:hAnsi="Times New Roman" w:cs="Times New Roman"/>
          <w:color w:val="auto"/>
          <w:kern w:val="0"/>
          <w:sz w:val="24"/>
          <w:szCs w:val="24"/>
          <w:lang w:val="en-US" w:eastAsia="zh-CN" w:bidi="ar"/>
        </w:rPr>
        <w:t>村</w:t>
      </w:r>
      <w:r>
        <w:rPr>
          <w:rFonts w:hint="default" w:ascii="Times New Roman" w:hAnsi="Times New Roman" w:eastAsia="宋体" w:cs="Times New Roman"/>
          <w:color w:val="auto"/>
          <w:kern w:val="0"/>
          <w:sz w:val="24"/>
          <w:szCs w:val="24"/>
          <w:lang w:val="en-US" w:eastAsia="zh-CN" w:bidi="ar"/>
        </w:rPr>
        <w:t>道路可到达</w:t>
      </w:r>
      <w:r>
        <w:rPr>
          <w:rFonts w:hint="default" w:ascii="Times New Roman" w:hAnsi="Times New Roman" w:eastAsia="宋体" w:cs="Times New Roman"/>
          <w:color w:val="auto"/>
          <w:lang w:val="en-US" w:eastAsia="zh-CN"/>
        </w:rPr>
        <w:t>。主要环境保护目标为评价范围内</w:t>
      </w:r>
      <w:r>
        <w:rPr>
          <w:rFonts w:hint="default" w:ascii="Times New Roman" w:hAnsi="Times New Roman" w:eastAsia="宋体" w:cs="Times New Roman"/>
          <w:color w:val="auto"/>
          <w:kern w:val="0"/>
          <w:sz w:val="24"/>
          <w:szCs w:val="24"/>
          <w:highlight w:val="none"/>
          <w:lang w:val="en-US" w:eastAsia="zh-CN" w:bidi="ar"/>
        </w:rPr>
        <w:t>全民村、朱家湾、孙家沟、曹家院、清盐村，张家湾等</w:t>
      </w:r>
      <w:r>
        <w:rPr>
          <w:rFonts w:hint="default" w:ascii="Times New Roman" w:hAnsi="Times New Roman" w:eastAsia="宋体" w:cs="Times New Roman"/>
          <w:color w:val="auto"/>
          <w:lang w:val="en-US" w:eastAsia="zh-CN"/>
        </w:rPr>
        <w:t>居民住户，项目沿线多为村庄，外环境关系较简单，结合工程建设内容，工程运营期，正常情况下不会对环境释放污染物，因此外环境没有制约因素。</w:t>
      </w:r>
    </w:p>
    <w:p>
      <w:pPr>
        <w:keepNext w:val="0"/>
        <w:keepLines w:val="0"/>
        <w:pageBreakBefore w:val="0"/>
        <w:kinsoku/>
        <w:wordWrap/>
        <w:overflowPunct/>
        <w:topLinePunct w:val="0"/>
        <w:bidi w:val="0"/>
        <w:snapToGrid/>
        <w:spacing w:line="480" w:lineRule="exact"/>
        <w:textAlignment w:val="auto"/>
        <w:rPr>
          <w:rFonts w:hint="default" w:ascii="Times New Roman" w:hAnsi="Times New Roman" w:eastAsia="宋体" w:cs="Times New Roman"/>
          <w:color w:val="auto"/>
        </w:rPr>
      </w:pPr>
      <w:r>
        <w:rPr>
          <w:rFonts w:hint="default" w:ascii="Times New Roman" w:hAnsi="Times New Roman" w:eastAsia="宋体" w:cs="Times New Roman"/>
          <w:b/>
          <w:bCs/>
          <w:color w:val="auto"/>
          <w:lang w:val="en-US" w:eastAsia="zh-CN"/>
        </w:rPr>
        <w:t>四、</w:t>
      </w:r>
      <w:bookmarkStart w:id="7" w:name="_Toc25444"/>
      <w:r>
        <w:rPr>
          <w:rFonts w:hint="default" w:ascii="Times New Roman" w:hAnsi="Times New Roman" w:eastAsia="宋体" w:cs="Times New Roman"/>
          <w:b/>
          <w:bCs/>
          <w:color w:val="auto"/>
          <w:kern w:val="0"/>
          <w:sz w:val="24"/>
          <w:szCs w:val="24"/>
          <w:lang w:val="en-US" w:eastAsia="zh-CN" w:bidi="ar"/>
        </w:rPr>
        <w:t>关注的</w:t>
      </w:r>
      <w:r>
        <w:rPr>
          <w:rFonts w:hint="default" w:ascii="Times New Roman" w:hAnsi="Times New Roman" w:eastAsia="宋体" w:cs="Times New Roman"/>
          <w:b/>
          <w:color w:val="auto"/>
          <w:kern w:val="0"/>
          <w:sz w:val="24"/>
          <w:szCs w:val="24"/>
          <w:lang w:val="en-US" w:eastAsia="zh-CN" w:bidi="ar"/>
        </w:rPr>
        <w:t>主要环境问题及环境影响</w:t>
      </w:r>
      <w:bookmarkEnd w:id="7"/>
      <w:r>
        <w:rPr>
          <w:rFonts w:hint="default" w:ascii="Times New Roman" w:hAnsi="Times New Roman" w:eastAsia="宋体" w:cs="Times New Roman"/>
          <w:b/>
          <w:color w:val="auto"/>
          <w:kern w:val="0"/>
          <w:sz w:val="24"/>
          <w:szCs w:val="24"/>
          <w:lang w:val="en-US" w:eastAsia="zh-CN" w:bidi="ar"/>
        </w:rPr>
        <w:t xml:space="preserve">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1、生态环境影响</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工程生态环境影响主要体现在施工期，生态环境影响要素主要表征为管沟开挖、管道穿跨越、站场阀室建设施工阶段，带来对土地表层的扰动、地貌改变、地表植被的破坏、土地利用格局变化、农、林、种植业损失；施工临时道路、弃渣场占用土地（包括耕地），水土流失和地表植被破坏。营运期不会带来新的生态影响，受施工期影响的生态环境按相应的环境保护措施，逐步恢复重建。</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2、地表水环境影响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水环境影响表征为：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（1）施工期河流穿跨越对地表水环境的影响；</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（2）清管试压排放水对地表水环境的影响；</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（3）施工人员产生的生活污水排放对地表水环境的影响；</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（4）运营期陵江清管站产生的生活污水对地表水环境的影响；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（5）运营期产生的气田水对地表水环境的影响。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3、地下水环境影响</w:t>
      </w:r>
    </w:p>
    <w:p>
      <w:pPr>
        <w:keepNext w:val="0"/>
        <w:keepLines w:val="0"/>
        <w:widowControl/>
        <w:suppressLineNumbers w:val="0"/>
        <w:ind w:left="0" w:leftChars="0" w:firstLine="480" w:firstLineChars="20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本工程施工期对地下水的影响是施工产生的涌水而伴随的地下水环境变化；营运期对地下水的影响是站场污水渗透和管道腐蚀对地下水的污染。</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4、大气环境 </w:t>
      </w:r>
    </w:p>
    <w:p>
      <w:pPr>
        <w:keepNext w:val="0"/>
        <w:keepLines w:val="0"/>
        <w:widowControl/>
        <w:suppressLineNumbers w:val="0"/>
        <w:ind w:left="0" w:leftChars="0" w:firstLine="480" w:firstLineChars="20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大气环境影响表征为：</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（1）施工机械排放的废气；</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（2）施工产生的扬尘；</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（3）营运期非正常工况下火炬燃烧排放的废气。</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5、声环境 </w:t>
      </w:r>
    </w:p>
    <w:p>
      <w:pPr>
        <w:keepNext w:val="0"/>
        <w:keepLines w:val="0"/>
        <w:widowControl/>
        <w:suppressLineNumbers w:val="0"/>
        <w:ind w:left="0" w:leftChars="0" w:firstLine="480" w:firstLineChars="20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声环境影响表征为：</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（1）施工期施工机械产生的机械噪声；</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（2）营运期加压设备产生的机械噪声及各站场输气产生的机械噪声。</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6、固体废弃物污染环境因素 </w:t>
      </w:r>
    </w:p>
    <w:p>
      <w:pPr>
        <w:keepNext w:val="0"/>
        <w:keepLines w:val="0"/>
        <w:widowControl/>
        <w:suppressLineNumbers w:val="0"/>
        <w:ind w:left="0" w:leftChars="0" w:firstLine="480" w:firstLineChars="20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固体废弃物污染环境因素表征为：</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（1）施工期产生的弃土（渣）；</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（2）废弃泥浆；</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（3）施工垃圾；</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（4）生活垃圾；</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（5）营运期产生的生活垃圾。</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7、社会环境 </w:t>
      </w:r>
    </w:p>
    <w:p>
      <w:pPr>
        <w:keepNext w:val="0"/>
        <w:keepLines w:val="0"/>
        <w:widowControl/>
        <w:suppressLineNumbers w:val="0"/>
        <w:ind w:left="0" w:leftChars="0" w:firstLine="480" w:firstLineChars="20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社会环境影响表征为：</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（1）施工期对沿线农业生产的影响；</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（2）施工期道路穿越对交通的影响；</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（3）施工对居住环境的影响；</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（4）对沿线的社会就业、社会经济的贡献；</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（5）工程建设对沿线景观的影响。</w:t>
      </w:r>
      <w:bookmarkStart w:id="8" w:name="_Toc29554"/>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8、环境风险</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输送的天然气属于易燃、易爆危险化学品，一旦发生火灾、爆炸事故会对周围环境和人体健康造成危害。预测结果表明，发生天然气泄漏事故后，不会出现甲烷的毒性终点浓度范围；天然气泄漏后，在发生火灾次生污染的情况下，不会出现 CO 毒性终点浓度范围。但建设单位仍需制定严格的风险防范措施、疏散措施和应急预案，并定期进行演练，以减小事故发生后对人群的影响。</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本工程环境风险可防可控，但在人口密集区、环境敏感区等区段还需要加强风险防范措施，制定相应的事故应急预案，降低事故发生的可能性并将事故造成的损失降至最低</w:t>
      </w:r>
      <w:r>
        <w:rPr>
          <w:rFonts w:hint="eastAsia" w:ascii="Times New Roman" w:hAnsi="Times New Roman" w:cs="Times New Roman"/>
          <w:color w:val="auto"/>
          <w:kern w:val="0"/>
          <w:sz w:val="24"/>
          <w:szCs w:val="24"/>
          <w:lang w:val="en-US" w:eastAsia="zh-CN" w:bidi="ar"/>
        </w:rPr>
        <w:t>。</w:t>
      </w:r>
    </w:p>
    <w:p>
      <w:pPr>
        <w:keepNext w:val="0"/>
        <w:keepLines w:val="0"/>
        <w:widowControl/>
        <w:suppressLineNumbers w:val="0"/>
        <w:jc w:val="left"/>
        <w:outlineLvl w:val="9"/>
        <w:rPr>
          <w:rFonts w:hint="default" w:ascii="Times New Roman" w:hAnsi="Times New Roman" w:eastAsia="宋体" w:cs="Times New Roman"/>
          <w:color w:val="auto"/>
        </w:rPr>
      </w:pPr>
      <w:r>
        <w:rPr>
          <w:rFonts w:hint="default" w:ascii="Times New Roman" w:hAnsi="Times New Roman" w:eastAsia="宋体" w:cs="Times New Roman"/>
          <w:b/>
          <w:color w:val="auto"/>
          <w:kern w:val="0"/>
          <w:sz w:val="24"/>
          <w:szCs w:val="24"/>
          <w:lang w:val="en-US" w:eastAsia="zh-CN" w:bidi="ar"/>
        </w:rPr>
        <w:t>五、环境影响评价主要结论</w:t>
      </w:r>
      <w:bookmarkEnd w:id="8"/>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报告中对本工程的实施将对环境产生影响进行了预测与评价，结合可能产生的主要环境问题：生态影响、废水、噪声、废气、固体废弃物等，提出了环境保护措施和要求。最后得出报告结论如下：</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建设符合国家产业政策和区域相关规划要求。项目在施工过程中不可避免地对沿线两侧一定范围的生态环境、水环境、声环境、环境空气等产生一定程度的负面影响，在项目建成后施工期产生的水环境、声环境、环境空气会随即消失，生态影响多属临时性、可恢复的，并予以了补偿。在项目运营过程中各类污染物均可达标排放，其对环境影响较小，环境风险在可接受程度内，污染防治措施配套可行。因此，在落实本报告提出的各项污染防治、生态保护、风险控制等措施和应急预案后，从环境保护角度考虑，本工程是可行的。</w:t>
      </w:r>
    </w:p>
    <w:p>
      <w:pP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br w:type="page"/>
      </w:r>
    </w:p>
    <w:p>
      <w:pPr>
        <w:pStyle w:val="4"/>
        <w:bidi w:val="0"/>
        <w:rPr>
          <w:rFonts w:hint="default" w:ascii="Times New Roman" w:hAnsi="Times New Roman" w:eastAsia="宋体" w:cs="Times New Roman"/>
          <w:color w:val="auto"/>
        </w:rPr>
      </w:pPr>
      <w:bookmarkStart w:id="9" w:name="_Toc27754"/>
      <w:bookmarkStart w:id="10" w:name="_Toc45724445"/>
      <w:r>
        <w:rPr>
          <w:rFonts w:hint="default" w:ascii="Times New Roman" w:hAnsi="Times New Roman" w:eastAsia="宋体" w:cs="Times New Roman"/>
          <w:color w:val="auto"/>
        </w:rPr>
        <w:t>第</w:t>
      </w:r>
      <w:r>
        <w:rPr>
          <w:rFonts w:hint="default" w:ascii="Times New Roman" w:hAnsi="Times New Roman" w:eastAsia="宋体" w:cs="Times New Roman"/>
          <w:color w:val="auto"/>
          <w:lang w:eastAsia="zh-CN"/>
        </w:rPr>
        <w:t>一</w:t>
      </w:r>
      <w:r>
        <w:rPr>
          <w:rFonts w:hint="default" w:ascii="Times New Roman" w:hAnsi="Times New Roman" w:eastAsia="宋体" w:cs="Times New Roman"/>
          <w:color w:val="auto"/>
        </w:rPr>
        <w:t>章  总则</w:t>
      </w:r>
      <w:bookmarkEnd w:id="9"/>
      <w:bookmarkEnd w:id="10"/>
    </w:p>
    <w:p>
      <w:pPr>
        <w:pStyle w:val="5"/>
        <w:bidi w:val="0"/>
        <w:rPr>
          <w:rFonts w:hint="default" w:ascii="Times New Roman" w:hAnsi="Times New Roman" w:eastAsia="宋体" w:cs="Times New Roman"/>
          <w:color w:val="auto"/>
          <w:highlight w:val="none"/>
        </w:rPr>
      </w:pPr>
      <w:bookmarkStart w:id="11" w:name="_Toc45724446"/>
      <w:bookmarkStart w:id="12" w:name="_Toc7461"/>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.1编制依据</w:t>
      </w:r>
      <w:bookmarkEnd w:id="11"/>
      <w:bookmarkEnd w:id="12"/>
    </w:p>
    <w:p>
      <w:pPr>
        <w:pStyle w:val="6"/>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lang w:val="en-US" w:eastAsia="zh-CN"/>
        </w:rPr>
        <w:t>1</w:t>
      </w:r>
      <w:r>
        <w:rPr>
          <w:rFonts w:hint="default" w:ascii="Times New Roman" w:hAnsi="Times New Roman" w:eastAsia="宋体" w:cs="Times New Roman"/>
          <w:color w:val="auto"/>
          <w:szCs w:val="24"/>
          <w:highlight w:val="none"/>
        </w:rPr>
        <w:t>.1.1法律法规及相关政策</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（1）《中华人民共和国环境保护法》（2014 年修订）；</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（2）《中华人民共和国环境影响评价法》（2018 年修正）；</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（3）《建设项目环境保护管理条例》(国令第 682 号)；</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（4）《建设项目环境影响评价分类管理名录（2021 年版）》；</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（5）《产业结构调整指导目录（2019年本）》（国家发展和改革委员会令第29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（6）《中华人民共和国大气污染防治法》（2018 年修正）；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（7）《中华人民共和国水污染防治法》（2017 年修正）；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（8）《中华人民共和国环境噪声污染防治法》（2018 年修正）；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（9）《中华人民共和国固体废物污染环境防治法》（2020 年修正）；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（10）《中华人民共和国土壤污染防治法》（2018 年）；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（11）《中华人民共和国水法》（2016年修正）；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（12）《中华人民共和国土地管理法》（2019 年修正）；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（13）《中华人民共和国矿产资源法》（2009 年修正）；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（14）《中华人民共和国石油天然气管道保护法》（2010 年）；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（15）《中华人民共和国节约能源法》（2018 年修正）；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（16）《中华人民共和国清洁生产促进法》（2012 年修正）；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（17）《中华人民共和国文物保护法》（2017 年修正）；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（18）《中华人民共和国野生动物保护法》（2018 年修正）；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（19）《中华人民共和国森林法》（2019 年修正）；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（20）《规划环境影响评价条例》（国务院令第 559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（21）《基本农田保护条例》（国务院令第 588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（22）《风景名胜区条例》（国务院令第 666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（23）《中华人民共和国自然保护区条例》（国务院令第 687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（24）《中华人民共和国野生植物保护条例》（国务院令第 687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（25）《中华人民共和国陆生野生动物保护法实施条例》（国务院令第 666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（26）《中华人民共和国水生野生动物保护实施条例》（国务院令第 645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（27）《历史文化名城名镇名村保护条例》（国务院令第 687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（28）《土地复垦条例》（国令第 592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（29）《全国生态功能区划（修编版）》（公告 2015 年第 61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（30）国家林业局 财政部关于印发《国家级公益林区划界定办法》和《国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家级公益林管理办法》的通知（林资发〔2017〕34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（31）《“十三五”环境影响评价改革实施方案》（环环评〔2016〕95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（32）《企业突发环境事件隐患排查和治理工作指南（试行）》（公告 2016 年第 74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（33）《工矿用地土壤环境管理办法（试行）》（令部令第 3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（34）《中华人民共和国森林公园管理办法》（国家林业局令第 42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（35）《关于全面实行永久基本农田特殊保护的通知》（国土资规〔2018〕1号）。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（36）《水产种质资源保护区管理暂行办法》（农业部 2011 年第 1 号令）；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（37）《环境空气细颗粒物污染综合防治技术政策》（公告 2013 年第 59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（38）《国土资源部关于印发&lt;自然生态空间用途管制办法（试行）&gt;的通知》（国土资发〔2017〕33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（39）《关于发布矿山生态环境保护与污染防治技术政策的通知》（环发〔2005〕109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（40）《石油天然气开采业污染防治技术政策》（公告 2012 年第 18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（41）《国务院关于印发水污染防治行动计划的通知》(国发〔2015〕17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（42）《国务院关于印发大气污染防治行动计划的通知》(国发〔2013〕37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（43）《关于落实大气污染防治行动计划严格环境影响评价准入的通知》（环办〔2014〕30 号）；</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（44）《关于印发能源行业加强大气污染防治工作方案的通知》（发改能源〔2014〕506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（45）《关于进一步加强石油天然气行业环境影响评价管理的通知》（环办环评函〔2019〕910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（46）《关于做好环境影响评价制度与排污许可制衔接相关工作的通知》（环办环评〔2017〕84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（47）《关于加强资源环境生态红线管控的指导意见的通知》（发改环资〔2016〕1162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（48）《关于以改善环境质量为核心加强环境影响评价管理的通知》（环环评〔2016〕150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（49）《关于进一步加强环境影响评价管理防范环境风险的通知》（环发〔2012〕77 号)；</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（50）《关于切实加强风险防范严格环境影响评价管理的通知》（环发〔2012〕98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（51）《关于印发企业事业单位突发环境事件应急预案备案管理办法（试行）的通知》（环发〔2015〕4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（52）《关于贯彻实施国家主体功能区环境政策的若干意见》（环发〔2015〕92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（53）《关于加强资源开发生态环境保护监管工作的意见》（环发〔2004〕24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（54）中共中央办公厅 国务院办公厅印发《关于划定并严守生态保护红线的若干意见》； </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kern w:val="2"/>
          <w:sz w:val="24"/>
          <w:szCs w:val="24"/>
          <w:highlight w:val="none"/>
          <w:lang w:val="en-US" w:eastAsia="zh-CN" w:bidi="ar-SA"/>
        </w:rPr>
        <w:t>1.1.2地方有关法律、法规及规章文件</w:t>
      </w:r>
      <w:r>
        <w:rPr>
          <w:rFonts w:hint="default" w:ascii="Times New Roman" w:hAnsi="Times New Roman" w:eastAsia="宋体" w:cs="Times New Roman"/>
          <w:b/>
          <w:bCs/>
          <w:color w:val="auto"/>
          <w:kern w:val="0"/>
          <w:sz w:val="30"/>
          <w:szCs w:val="30"/>
          <w:lang w:val="en-US" w:eastAsia="zh-CN" w:bidi="ar"/>
        </w:rPr>
        <w:t xml:space="preserve">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（1）《四川省环境保护条例》（四川省第十二届人民代表大会常务委员会公告第 94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（2）《四川省主体功能区规划》（川府发〔2013〕16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（3）《四川省生态功能区划》（2010 年 8 月出版）；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（4）《四川省大气污染防治行动计划实施细则》（川办函〔2017〕102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（5）《四川省野生植物保护条例》(四川省第十二届人民代表大会常务委员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会公告第 29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（6）《四川省饮用水水源保护管理条例》（2019 年修正）；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（7）《广元市饮用水水源地保护条例》（2018 年）；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（8）《四川省重点保护野生动物名录》（川府发〔1990〕39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（9）《四川省新增重点保护野生动物名录》（川府发〔2000〕37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（10）《四川省〈中华人民共和国渔业法〉实施办法》（2016 年修正）；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（11）《四川省人民政府办公厅关于城镇集中式饮用水水源地保护区划定方案的通知》（川办函〔2010〕26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（12）《四川省环境保护局关于依法加强环境影响评价管理防范环境风险的通知》（川环发〔2006〕1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（13）《关于石油天然气钻井及配套设施用地有关问题的通知》（川国土资发〔2012〕105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（14）《四川省人民政府关于公布四川省重点保护野生植物名录的通知》(川府函〔2016〕27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（15）《关于印发&lt;四川省灰霾污染防治实施方案&gt;的通知》（川环发〔2013〕78 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（16）《四川省人民政府关于印发《四川省生态保护红线方案》的通知》（川府发〔2018〕24 号）； </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（17）《四川省长江经济带发展负面清单实施细则（试行）》（川长江办〔2019〕8 号）</w:t>
      </w:r>
    </w:p>
    <w:p>
      <w:pPr>
        <w:pStyle w:val="6"/>
        <w:bidi w:val="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w:t>
      </w:r>
      <w:r>
        <w:rPr>
          <w:rFonts w:hint="default" w:ascii="Times New Roman" w:hAnsi="Times New Roman" w:eastAsia="宋体" w:cs="Times New Roman"/>
          <w:color w:val="auto"/>
        </w:rPr>
        <w:t>.1.</w:t>
      </w:r>
      <w:r>
        <w:rPr>
          <w:rFonts w:hint="default" w:ascii="Times New Roman" w:hAnsi="Times New Roman" w:eastAsia="宋体" w:cs="Times New Roman"/>
          <w:color w:val="auto"/>
          <w:lang w:val="en-US" w:eastAsia="zh-CN"/>
        </w:rPr>
        <w:t>3</w:t>
      </w:r>
      <w:r>
        <w:rPr>
          <w:rFonts w:hint="default" w:ascii="Times New Roman" w:hAnsi="Times New Roman" w:eastAsia="宋体" w:cs="Times New Roman"/>
          <w:color w:val="auto"/>
        </w:rPr>
        <w:t>行业标准与技术规范</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（1）《建设项目环境影响评价技术导则 总纲》（HJ2.1-2016）；</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（2）《环境影响评价技术导则 大气环境》（HJ2.2-2018）；</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（3）《环境影响评价技术导则 地</w:t>
      </w:r>
      <w:r>
        <w:rPr>
          <w:rFonts w:hint="default" w:ascii="Times New Roman" w:hAnsi="Times New Roman" w:eastAsia="宋体" w:cs="Times New Roman"/>
          <w:color w:val="auto"/>
          <w:lang w:eastAsia="zh-CN"/>
        </w:rPr>
        <w:t>表</w:t>
      </w:r>
      <w:r>
        <w:rPr>
          <w:rFonts w:hint="default" w:ascii="Times New Roman" w:hAnsi="Times New Roman" w:eastAsia="宋体" w:cs="Times New Roman"/>
          <w:color w:val="auto"/>
        </w:rPr>
        <w:t>水环境》（HJ/T2.3-2018）；</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（4）《环境影响评价技术导则 声环境》（HJ2.4-2009）；</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（5）《环境影响评价技术导则 地下水环境》（HJ610-2016）；</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（6）《环境影响评价技术导则 生态影响》（HJ19-2011）；</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（7）《建设项目环境风险评价技术导则》（HJ169-2018）；</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（8）《油气集输设计规范》（GB50350-2005）；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（9）《环境影响评价技术导则-陆地石油天然气开发建设项目》（HJ/T349-2007）；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（10）《工业企业噪声控制设计规范》（GB/T50087-2013）；</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（11）《油气输送管道穿越工程设计规范》（GB50423-2007）；</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（12）《油气输送管道穿跨越工程设计规范》（GB50459-2009）；</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（13）《建筑设计防火规范》（GB50016-2014）；</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（14）《石油天然气工程设计防火规范》（GB50183-2015）；</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（15）《石油天然气工程总图设计规范》（SY/T0048-2009）；</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（16）《石油化工企业环境应急预案编制指南》（环办[2010]10 号）；</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（17）《土壤侵蚀分类分级标准》(SL190-2007)；</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（18）《陆上石油天然气生产环境保护推荐作法》（SY/T6628-2005）。</w:t>
      </w:r>
    </w:p>
    <w:p>
      <w:pPr>
        <w:spacing w:line="360" w:lineRule="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kern w:val="2"/>
          <w:sz w:val="24"/>
          <w:szCs w:val="32"/>
          <w:lang w:val="en-US" w:eastAsia="zh-CN" w:bidi="ar-SA"/>
        </w:rPr>
        <w:t>1.1.3 项目有关技术文件</w:t>
      </w:r>
      <w:r>
        <w:rPr>
          <w:rFonts w:hint="default" w:ascii="Times New Roman" w:hAnsi="Times New Roman" w:eastAsia="宋体" w:cs="Times New Roman"/>
          <w:color w:val="auto"/>
          <w:sz w:val="24"/>
          <w:szCs w:val="24"/>
          <w:lang w:val="en-US" w:eastAsia="zh-CN"/>
        </w:rPr>
        <w:t xml:space="preserve"> </w:t>
      </w:r>
    </w:p>
    <w:p>
      <w:pPr>
        <w:spacing w:line="360" w:lineRule="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kern w:val="0"/>
          <w:sz w:val="24"/>
          <w:szCs w:val="24"/>
          <w:lang w:val="en-US" w:eastAsia="zh-CN" w:bidi="ar"/>
        </w:rPr>
        <w:t>中贵线与元坝-普光管道联通工程</w:t>
      </w:r>
      <w:r>
        <w:rPr>
          <w:rFonts w:hint="default" w:ascii="Times New Roman" w:hAnsi="Times New Roman" w:eastAsia="宋体" w:cs="Times New Roman"/>
          <w:color w:val="auto"/>
          <w:sz w:val="24"/>
          <w:szCs w:val="24"/>
          <w:lang w:val="en-US" w:eastAsia="zh-CN"/>
        </w:rPr>
        <w:t xml:space="preserve">《关于开展中贵线与元坝-普光管道联通工程环境影响评价工作的委托书》； </w:t>
      </w:r>
    </w:p>
    <w:p>
      <w:pPr>
        <w:spacing w:line="360" w:lineRule="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r>
        <w:rPr>
          <w:rFonts w:hint="eastAsia" w:ascii="Times New Roman" w:hAnsi="Times New Roman"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 xml:space="preserve">）《中贵线与元坝-普光管道联通工程可行性研究》； </w:t>
      </w:r>
    </w:p>
    <w:p>
      <w:pPr>
        <w:spacing w:line="360" w:lineRule="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r>
        <w:rPr>
          <w:rFonts w:hint="eastAsia" w:ascii="Times New Roman" w:hAnsi="Times New Roman"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）四川省地质工程勘查院集团有限公司《中贵线与元坝-普光管道联通工程水土保持方案报告书》；</w:t>
      </w:r>
    </w:p>
    <w:p>
      <w:pPr>
        <w:spacing w:line="360" w:lineRule="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r>
        <w:rPr>
          <w:rFonts w:hint="eastAsia" w:ascii="Times New Roman" w:hAnsi="Times New Roman"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 xml:space="preserve">）项目区域环境监测报告； </w:t>
      </w:r>
    </w:p>
    <w:p>
      <w:pPr>
        <w:spacing w:line="360" w:lineRule="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r>
        <w:rPr>
          <w:rFonts w:hint="eastAsia" w:ascii="Times New Roman" w:hAnsi="Times New Roman"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 xml:space="preserve">）项目有关的其他技术资料。 </w:t>
      </w:r>
    </w:p>
    <w:p>
      <w:pPr>
        <w:pStyle w:val="5"/>
        <w:bidi w:val="0"/>
        <w:rPr>
          <w:rFonts w:hint="default" w:ascii="Times New Roman" w:hAnsi="Times New Roman" w:eastAsia="宋体" w:cs="Times New Roman"/>
          <w:color w:val="auto"/>
          <w:lang w:val="en-US" w:eastAsia="zh-CN"/>
        </w:rPr>
      </w:pPr>
      <w:bookmarkStart w:id="13" w:name="_Toc8284"/>
      <w:r>
        <w:rPr>
          <w:rFonts w:hint="default" w:ascii="Times New Roman" w:hAnsi="Times New Roman" w:eastAsia="宋体" w:cs="Times New Roman"/>
          <w:color w:val="auto"/>
          <w:lang w:val="en-US" w:eastAsia="zh-CN"/>
        </w:rPr>
        <w:t>1.2评价目的及原则</w:t>
      </w:r>
      <w:bookmarkEnd w:id="13"/>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1.2.1 评价目的</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通过对本工程环境影响评价将达到如下目的：</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在对管道沿线环境现状进行详细调查的基础上，通过对本工程的环境影响进行预测和评价，结合沿线环境保护规划、发展规划、土地利用规划等，从环境保护角度论证本工程建设的可行性，为环境管理和进一步工程方案优化设计提供必要的科学依据；</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2、根据环境影响评价结果，结合周围环境具体情况，提出有针对性的环境保护措施和对策；</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3、根据本工程对环境影响的特点，提出有针对性的环境管理、环境监理和环境监测计划；</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4、根据本工程环境风险预测结果，提出切实可行的环境风险防范措施和应急措施；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5、征求本工程评价范围内公众意见，并进行统计分析，为项目的建设和环境保护决策提供参考依据。</w:t>
      </w:r>
    </w:p>
    <w:p>
      <w:pPr>
        <w:pStyle w:val="6"/>
        <w:bidi w:val="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1.2.2评价原则</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突出环境影响评价的作用，坚持保护和改善环境质量。</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1、依法评价：贯彻执行我国环境保护相关法律法规、标准、政策和规划等，优化项目建设，服务环境管理。</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2、科学评价：规范环境影响评价方法，科学分析项目建设对环境质量的影响。</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3、突出重点：根据建设项目的工程内容及其特点，明确与环境要素间的作用效应关系，充分利用符合时效的数据资料及成果，对建设项目主要环境影响予以重点分析和评价。</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本工程项目为新建项目，根据项目特点，确定评价工作的原则为：</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（1）从环境保护角度论证工程内容及选址的可行性和合理性。优化项目选址及路由；合理选线、选址，减少对生态环境的影响。</w:t>
      </w:r>
    </w:p>
    <w:p>
      <w:pPr>
        <w:bidi w:val="0"/>
        <w:ind w:left="0" w:leftChars="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（2）通过现场实地踏勘，充分了解收集评价区环境质量、环境生态现状资料，并对一些敏感地区进行现状调查和监测。</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（3）选择适当的模式和方法，预测本工程实施后对周围环境的影响程度和范围。明确项目实施后当地环境质量能否满足相应的环境功能区要求。</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（4）对项目营运期可能存在的环境风险进行分析，并提出风险防范措施和突发事故应急预案。</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（5）对项目环境经济损益简要分析，论述项目实施后的环境经济效益。</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（6）生态保护与污染控制并重。</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（7）通过评价，从环境角度得出项目是否可行的明确结论，并对存在的问题提出合理化建议。</w:t>
      </w:r>
    </w:p>
    <w:p>
      <w:pPr>
        <w:pStyle w:val="5"/>
        <w:bidi w:val="0"/>
        <w:rPr>
          <w:rFonts w:hint="default" w:ascii="Times New Roman" w:hAnsi="Times New Roman" w:eastAsia="宋体" w:cs="Times New Roman"/>
          <w:color w:val="auto"/>
          <w:lang w:val="en-US" w:eastAsia="zh-CN"/>
        </w:rPr>
      </w:pPr>
      <w:bookmarkStart w:id="14" w:name="_Toc241"/>
      <w:r>
        <w:rPr>
          <w:rFonts w:hint="default" w:ascii="Times New Roman" w:hAnsi="Times New Roman" w:eastAsia="宋体" w:cs="Times New Roman"/>
          <w:color w:val="auto"/>
          <w:lang w:val="en-US" w:eastAsia="zh-CN"/>
        </w:rPr>
        <w:t>1.3 评价方法与时段</w:t>
      </w:r>
      <w:bookmarkEnd w:id="14"/>
      <w:r>
        <w:rPr>
          <w:rFonts w:hint="default" w:ascii="Times New Roman" w:hAnsi="Times New Roman" w:eastAsia="宋体" w:cs="Times New Roman"/>
          <w:color w:val="auto"/>
          <w:lang w:val="en-US" w:eastAsia="zh-CN"/>
        </w:rPr>
        <w:t xml:space="preserve"> </w:t>
      </w:r>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1.3.1 评价方法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为线路工程，评价按“以点为主、点线结合、反馈全线”的方法开展工作。结合本工程各评价区段的环境特征和各评价要素的评价工作等级，有针对、有侧重的对环境要素进行监测与评价。通过类比调查，选择适当的模式和参数，定量或定性的分析项目施工期间和投产运行后对周围环境的影响，以及事故状况下的影响，针对评价结论反映出的主要问题，结合国内外现有方法提出预防、恢复和缓解措施。结合工程沿线各城镇发展规划、环境功能区划、环境保护规划、生态保护规划和土地利用规划等，论证管线路由走向和站场选址的环境可行性。</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最后综合分析各章节评价结论，给出该项目建设的环境可行性结论。 </w:t>
      </w:r>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1.3.2 评价时段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本工程环境影响评价时段主要包括施工期和营运期两个时段，线路工程以施工期作为评价重点，站场工程重点评价运营期影响。</w:t>
      </w:r>
    </w:p>
    <w:p>
      <w:pPr>
        <w:pStyle w:val="5"/>
        <w:bidi w:val="0"/>
        <w:rPr>
          <w:rFonts w:hint="default" w:ascii="Times New Roman" w:hAnsi="Times New Roman" w:eastAsia="宋体" w:cs="Times New Roman"/>
          <w:color w:val="auto"/>
          <w:lang w:val="en-US" w:eastAsia="zh-CN"/>
        </w:rPr>
      </w:pPr>
      <w:bookmarkStart w:id="15" w:name="_Toc24889"/>
      <w:r>
        <w:rPr>
          <w:rFonts w:hint="default" w:ascii="Times New Roman" w:hAnsi="Times New Roman" w:eastAsia="宋体" w:cs="Times New Roman"/>
          <w:color w:val="auto"/>
          <w:lang w:val="en-US" w:eastAsia="zh-CN"/>
        </w:rPr>
        <w:t>1.4评价因子</w:t>
      </w:r>
      <w:bookmarkEnd w:id="15"/>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1.4.1现状评价因子</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通过对本工程实施过程及实施后产生的环境污染因素及污染因子分析，筛选并确定现状评价因子，表 1.4-1 环境影响表征识别筛选结果列于表1.4-2。</w:t>
      </w:r>
    </w:p>
    <w:p>
      <w:pPr>
        <w:keepNext w:val="0"/>
        <w:keepLines w:val="0"/>
        <w:widowControl/>
        <w:suppressLineNumbers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表 1.4-1 环境影响表征识别</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1090"/>
        <w:gridCol w:w="2595"/>
        <w:gridCol w:w="53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06" w:type="pc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建设阶段</w:t>
            </w:r>
          </w:p>
        </w:tc>
        <w:tc>
          <w:tcPr>
            <w:tcW w:w="1443" w:type="pc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工程建设活动</w:t>
            </w:r>
          </w:p>
        </w:tc>
        <w:tc>
          <w:tcPr>
            <w:tcW w:w="2949" w:type="pc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环境影响内容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810" w:hRule="atLeast"/>
          <w:jc w:val="center"/>
        </w:trPr>
        <w:tc>
          <w:tcPr>
            <w:tcW w:w="606" w:type="pct"/>
            <w:vMerge w:val="restar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施工期</w:t>
            </w:r>
          </w:p>
        </w:tc>
        <w:tc>
          <w:tcPr>
            <w:tcW w:w="1443"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1、场站、截断阀室建设</w:t>
            </w:r>
          </w:p>
        </w:tc>
        <w:tc>
          <w:tcPr>
            <w:tcW w:w="2949" w:type="pc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①永久占用土地，改变土地利用的现有功能；</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②被征土地的原使用者将按规定得到一定的补偿。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06" w:type="pct"/>
            <w:vMerge w:val="continue"/>
            <w:tcBorders>
              <w:tl2br w:val="nil"/>
              <w:tr2bl w:val="nil"/>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43"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1.1、施工机械操作</w:t>
            </w:r>
          </w:p>
        </w:tc>
        <w:tc>
          <w:tcPr>
            <w:tcW w:w="2949"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产生机械尾气和机械噪声。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06" w:type="pct"/>
            <w:vMerge w:val="continue"/>
            <w:tcBorders>
              <w:tl2br w:val="nil"/>
              <w:tr2bl w:val="nil"/>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43"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1.2、施工人员日常生活</w:t>
            </w:r>
          </w:p>
        </w:tc>
        <w:tc>
          <w:tcPr>
            <w:tcW w:w="2949"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生活污水、生活固废排放。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06" w:type="pct"/>
            <w:vMerge w:val="continue"/>
            <w:tcBorders>
              <w:tl2br w:val="nil"/>
              <w:tr2bl w:val="nil"/>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43"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2、管线敷设</w:t>
            </w:r>
          </w:p>
        </w:tc>
        <w:tc>
          <w:tcPr>
            <w:tcW w:w="2949"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临时占用部分土地，短期影响土地的使用功能或类型。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1620" w:hRule="atLeast"/>
          <w:jc w:val="center"/>
        </w:trPr>
        <w:tc>
          <w:tcPr>
            <w:tcW w:w="606" w:type="pct"/>
            <w:vMerge w:val="continue"/>
            <w:tcBorders>
              <w:tl2br w:val="nil"/>
              <w:tr2bl w:val="nil"/>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43"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2.1、管沟开挖与回填</w:t>
            </w:r>
          </w:p>
        </w:tc>
        <w:tc>
          <w:tcPr>
            <w:tcW w:w="2949" w:type="pc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①破坏施工作业带内的土壤、植被和视觉景观；特别对沿线林地的破坏较严重，需要提出林地补偿建设计划；</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②可能产生废弃土石方，且堆放不当易引起水土流失，污染地表水体或农田；③运输、取弃填挖作业中产生扬尘。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810" w:hRule="atLeast"/>
          <w:jc w:val="center"/>
        </w:trPr>
        <w:tc>
          <w:tcPr>
            <w:tcW w:w="606" w:type="pct"/>
            <w:vMerge w:val="continue"/>
            <w:tcBorders>
              <w:tl2br w:val="nil"/>
              <w:tr2bl w:val="nil"/>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43"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2.2、原材料运输</w:t>
            </w:r>
          </w:p>
        </w:tc>
        <w:tc>
          <w:tcPr>
            <w:tcW w:w="2949" w:type="pc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①运输车辆产生尾气、噪声和扬尘；②临时料场占用土地，短期影响土地的使用功能或类型。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06" w:type="pct"/>
            <w:vMerge w:val="continue"/>
            <w:tcBorders>
              <w:tl2br w:val="nil"/>
              <w:tr2bl w:val="nil"/>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43"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2.3、施工机械操作</w:t>
            </w:r>
          </w:p>
        </w:tc>
        <w:tc>
          <w:tcPr>
            <w:tcW w:w="2949"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产生机械尾气和机械噪声。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40" w:hRule="atLeast"/>
          <w:jc w:val="center"/>
        </w:trPr>
        <w:tc>
          <w:tcPr>
            <w:tcW w:w="606" w:type="pct"/>
            <w:vMerge w:val="continue"/>
            <w:tcBorders>
              <w:tl2br w:val="nil"/>
              <w:tr2bl w:val="nil"/>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43"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2.4、施工便道建设</w:t>
            </w:r>
          </w:p>
        </w:tc>
        <w:tc>
          <w:tcPr>
            <w:tcW w:w="2949" w:type="pc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临时占用部分土地，对需要保留的巡线道路将永久性改变土地利用的原有功能。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06" w:hRule="atLeast"/>
          <w:jc w:val="center"/>
        </w:trPr>
        <w:tc>
          <w:tcPr>
            <w:tcW w:w="606" w:type="pct"/>
            <w:vMerge w:val="continue"/>
            <w:tcBorders>
              <w:tl2br w:val="nil"/>
              <w:tr2bl w:val="nil"/>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43"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3、穿跨越工程施工</w:t>
            </w:r>
          </w:p>
        </w:tc>
        <w:tc>
          <w:tcPr>
            <w:tcW w:w="2949" w:type="pc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临时占用部分土地，短期影响土地的使用功能或类型，有少量的施工机械或设备含油污水产生。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40" w:hRule="atLeast"/>
          <w:jc w:val="center"/>
        </w:trPr>
        <w:tc>
          <w:tcPr>
            <w:tcW w:w="606" w:type="pct"/>
            <w:vMerge w:val="continue"/>
            <w:tcBorders>
              <w:tl2br w:val="nil"/>
              <w:tr2bl w:val="nil"/>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43"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3.1、穿越河流</w:t>
            </w:r>
          </w:p>
        </w:tc>
        <w:tc>
          <w:tcPr>
            <w:tcW w:w="2949" w:type="pc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定向钻方式穿越大型河流或具有饮用水功能的河流会产生一定的废弃泥浆，堆放或处理不当，可能引起所穿越河流的污染，或对穿越点附近的农田或土壤造成污染；施工废水处理不当，对地表水造成影响。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0" w:hRule="atLeast"/>
          <w:jc w:val="center"/>
        </w:trPr>
        <w:tc>
          <w:tcPr>
            <w:tcW w:w="606" w:type="pct"/>
            <w:vMerge w:val="continue"/>
            <w:tcBorders>
              <w:tl2br w:val="nil"/>
              <w:tr2bl w:val="nil"/>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43"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4、试压</w:t>
            </w:r>
          </w:p>
        </w:tc>
        <w:tc>
          <w:tcPr>
            <w:tcW w:w="2949" w:type="pc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废水排放对区域水环境短期内可能产生一定的影响，所排放废水必须经沉淀、过滤处理后排放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606" w:type="pct"/>
            <w:vMerge w:val="restar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运营期</w:t>
            </w:r>
          </w:p>
        </w:tc>
        <w:tc>
          <w:tcPr>
            <w:tcW w:w="1443"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5、管线正常工况运营</w:t>
            </w:r>
          </w:p>
        </w:tc>
        <w:tc>
          <w:tcPr>
            <w:tcW w:w="2949"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50" w:hRule="atLeast"/>
          <w:jc w:val="center"/>
        </w:trPr>
        <w:tc>
          <w:tcPr>
            <w:tcW w:w="606" w:type="pct"/>
            <w:vMerge w:val="continue"/>
            <w:tcBorders>
              <w:tl2br w:val="nil"/>
              <w:tr2bl w:val="nil"/>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43"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6、站场</w:t>
            </w:r>
          </w:p>
        </w:tc>
        <w:tc>
          <w:tcPr>
            <w:tcW w:w="2949" w:type="pc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①站场内工作人员的生活污水；②非正常</w:t>
            </w:r>
            <w:r>
              <w:rPr>
                <w:rFonts w:hint="eastAsia" w:ascii="Times New Roman" w:hAnsi="Times New Roman" w:cs="Times New Roman"/>
                <w:i w:val="0"/>
                <w:color w:val="auto"/>
                <w:kern w:val="0"/>
                <w:sz w:val="21"/>
                <w:szCs w:val="21"/>
                <w:u w:val="none"/>
                <w:lang w:val="en-US" w:eastAsia="zh-CN" w:bidi="ar"/>
              </w:rPr>
              <w:t>工况</w:t>
            </w:r>
            <w:r>
              <w:rPr>
                <w:rFonts w:hint="default" w:ascii="Times New Roman" w:hAnsi="Times New Roman" w:eastAsia="宋体" w:cs="Times New Roman"/>
                <w:i w:val="0"/>
                <w:color w:val="auto"/>
                <w:kern w:val="0"/>
                <w:sz w:val="21"/>
                <w:szCs w:val="21"/>
                <w:u w:val="none"/>
                <w:lang w:val="en-US" w:eastAsia="zh-CN" w:bidi="ar"/>
              </w:rPr>
              <w:t>时，系统超压和站场检修时经放空装置直接排放的天然气或燃烧后排放的废气；③噪声源主要为压缩机组、天然气放空系统等；④站场工作人员产生的生活垃圾。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50" w:hRule="atLeast"/>
          <w:jc w:val="center"/>
        </w:trPr>
        <w:tc>
          <w:tcPr>
            <w:tcW w:w="606" w:type="pct"/>
            <w:vMerge w:val="continue"/>
            <w:tcBorders>
              <w:tl2br w:val="nil"/>
              <w:tr2bl w:val="nil"/>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43"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7、输气管线事故</w:t>
            </w:r>
          </w:p>
        </w:tc>
        <w:tc>
          <w:tcPr>
            <w:tcW w:w="2949" w:type="pc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①管线发生泄漏对管线两侧环境和人员的影响；②天然气遇明火引起火灾或爆炸事故，对事故区域环境空气质量和管线两侧居住区、社会关注区产生的影响。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1080" w:hRule="atLeast"/>
          <w:jc w:val="center"/>
        </w:trPr>
        <w:tc>
          <w:tcPr>
            <w:tcW w:w="606" w:type="pct"/>
            <w:vMerge w:val="continue"/>
            <w:tcBorders>
              <w:tl2br w:val="nil"/>
              <w:tr2bl w:val="nil"/>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43"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8、工艺站场事故</w:t>
            </w:r>
          </w:p>
        </w:tc>
        <w:tc>
          <w:tcPr>
            <w:tcW w:w="2949" w:type="pc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lang w:val="en-US"/>
              </w:rPr>
            </w:pPr>
            <w:r>
              <w:rPr>
                <w:rFonts w:hint="default" w:ascii="Times New Roman" w:hAnsi="Times New Roman" w:eastAsia="宋体" w:cs="Times New Roman"/>
                <w:i w:val="0"/>
                <w:color w:val="auto"/>
                <w:kern w:val="0"/>
                <w:sz w:val="21"/>
                <w:szCs w:val="21"/>
                <w:u w:val="none"/>
                <w:lang w:val="en-US" w:eastAsia="zh-CN" w:bidi="ar"/>
              </w:rPr>
              <w:t>①工艺站场发生泄漏对站场和周围环境和人员的影响；②天然气遇明火引起火灾或爆炸事故，对事故区域环境空气质</w:t>
            </w:r>
            <w:r>
              <w:rPr>
                <w:rFonts w:hint="eastAsia" w:ascii="Times New Roman" w:hAnsi="Times New Roman" w:cs="Times New Roman"/>
                <w:i w:val="0"/>
                <w:color w:val="auto"/>
                <w:kern w:val="0"/>
                <w:sz w:val="21"/>
                <w:szCs w:val="21"/>
                <w:u w:val="none"/>
                <w:lang w:val="en-US" w:eastAsia="zh-CN" w:bidi="ar"/>
              </w:rPr>
              <w:t>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40" w:hRule="atLeast"/>
          <w:jc w:val="center"/>
        </w:trPr>
        <w:tc>
          <w:tcPr>
            <w:tcW w:w="606" w:type="pct"/>
            <w:vMerge w:val="continue"/>
            <w:tcBorders>
              <w:tl2br w:val="nil"/>
              <w:tr2bl w:val="nil"/>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auto"/>
                <w:sz w:val="21"/>
                <w:szCs w:val="21"/>
                <w:u w:val="none"/>
              </w:rPr>
            </w:pPr>
          </w:p>
        </w:tc>
        <w:tc>
          <w:tcPr>
            <w:tcW w:w="1443" w:type="pct"/>
            <w:tcBorders>
              <w:tl2br w:val="nil"/>
              <w:tr2bl w:val="nil"/>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9、社会影响</w:t>
            </w:r>
          </w:p>
        </w:tc>
        <w:tc>
          <w:tcPr>
            <w:tcW w:w="2949" w:type="pct"/>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①影响邻近村庄或城镇的发展空间；②增加劳动就业，促进经济发展</w:t>
            </w:r>
          </w:p>
        </w:tc>
      </w:tr>
    </w:tbl>
    <w:p>
      <w:pPr>
        <w:keepNext w:val="0"/>
        <w:keepLines w:val="0"/>
        <w:widowControl/>
        <w:suppressLineNumbers w:val="0"/>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eastAsia="zh-CN"/>
        </w:rPr>
        <w:t>表</w:t>
      </w:r>
      <w:r>
        <w:rPr>
          <w:rFonts w:hint="default" w:ascii="Times New Roman" w:hAnsi="Times New Roman" w:eastAsia="宋体" w:cs="Times New Roman"/>
          <w:b/>
          <w:bCs/>
          <w:color w:val="auto"/>
          <w:sz w:val="24"/>
          <w:szCs w:val="24"/>
          <w:lang w:val="en-US" w:eastAsia="zh-CN"/>
        </w:rPr>
        <w:t>1.4-2  项目现状评价因子一览表</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1"/>
        <w:gridCol w:w="1807"/>
        <w:gridCol w:w="61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9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分类</w:t>
            </w:r>
          </w:p>
        </w:tc>
        <w:tc>
          <w:tcPr>
            <w:tcW w:w="180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环境要素</w:t>
            </w:r>
          </w:p>
        </w:tc>
        <w:tc>
          <w:tcPr>
            <w:tcW w:w="616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污染源评价因子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91" w:type="dxa"/>
            <w:vMerge w:val="restart"/>
            <w:vAlign w:val="center"/>
          </w:tcPr>
          <w:p>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环境质量现状评价因子</w:t>
            </w:r>
          </w:p>
        </w:tc>
        <w:tc>
          <w:tcPr>
            <w:tcW w:w="180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大气环境</w:t>
            </w:r>
          </w:p>
        </w:tc>
        <w:tc>
          <w:tcPr>
            <w:tcW w:w="616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10</w:t>
            </w: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2.5</w:t>
            </w:r>
            <w:r>
              <w:rPr>
                <w:rFonts w:hint="default" w:ascii="Times New Roman" w:hAnsi="Times New Roman" w:eastAsia="宋体" w:cs="Times New Roman"/>
                <w:color w:val="auto"/>
                <w:sz w:val="21"/>
                <w:szCs w:val="21"/>
              </w:rPr>
              <w:t>、CO、O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9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0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地表水环境</w:t>
            </w:r>
          </w:p>
        </w:tc>
        <w:tc>
          <w:tcPr>
            <w:tcW w:w="616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水温、pH、</w:t>
            </w:r>
            <w:r>
              <w:rPr>
                <w:rFonts w:hint="eastAsia" w:ascii="Times New Roman" w:hAnsi="Times New Roman" w:cs="Times New Roman"/>
                <w:color w:val="auto"/>
                <w:sz w:val="21"/>
                <w:szCs w:val="21"/>
                <w:vertAlign w:val="baseline"/>
                <w:lang w:val="en-US" w:eastAsia="zh-CN"/>
              </w:rPr>
              <w:t>溶</w:t>
            </w:r>
            <w:r>
              <w:rPr>
                <w:rFonts w:hint="default" w:ascii="Times New Roman" w:hAnsi="Times New Roman" w:eastAsia="宋体" w:cs="Times New Roman"/>
                <w:color w:val="auto"/>
                <w:sz w:val="21"/>
                <w:szCs w:val="21"/>
                <w:vertAlign w:val="baseline"/>
                <w:lang w:val="en-US" w:eastAsia="zh-CN"/>
              </w:rPr>
              <w:t>解氧、高锰酸盐指数、化学需氧量、BOD、氨氮、总磷、总氮、阴离子表面活性剂、硫化物、硫酸盐、氯化物、硝酸盐和粪大肠菌群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9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0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地下水环境</w:t>
            </w:r>
          </w:p>
        </w:tc>
        <w:tc>
          <w:tcPr>
            <w:tcW w:w="616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pacing w:val="2"/>
                <w:sz w:val="21"/>
                <w:szCs w:val="21"/>
              </w:rPr>
              <w:t>K</w:t>
            </w:r>
            <w:r>
              <w:rPr>
                <w:rFonts w:hint="default" w:ascii="Times New Roman" w:hAnsi="Times New Roman" w:eastAsia="宋体" w:cs="Times New Roman"/>
                <w:color w:val="auto"/>
                <w:spacing w:val="2"/>
                <w:sz w:val="21"/>
                <w:szCs w:val="21"/>
                <w:vertAlign w:val="superscript"/>
              </w:rPr>
              <w:t>+</w:t>
            </w:r>
            <w:r>
              <w:rPr>
                <w:rFonts w:hint="default" w:ascii="Times New Roman" w:hAnsi="Times New Roman" w:eastAsia="宋体" w:cs="Times New Roman"/>
                <w:color w:val="auto"/>
                <w:spacing w:val="2"/>
                <w:sz w:val="21"/>
                <w:szCs w:val="21"/>
              </w:rPr>
              <w:t>、Na</w:t>
            </w:r>
            <w:r>
              <w:rPr>
                <w:rFonts w:hint="default" w:ascii="Times New Roman" w:hAnsi="Times New Roman" w:eastAsia="宋体" w:cs="Times New Roman"/>
                <w:color w:val="auto"/>
                <w:spacing w:val="2"/>
                <w:sz w:val="21"/>
                <w:szCs w:val="21"/>
                <w:vertAlign w:val="superscript"/>
              </w:rPr>
              <w:t>+</w:t>
            </w:r>
            <w:r>
              <w:rPr>
                <w:rFonts w:hint="default" w:ascii="Times New Roman" w:hAnsi="Times New Roman" w:eastAsia="宋体" w:cs="Times New Roman"/>
                <w:color w:val="auto"/>
                <w:spacing w:val="2"/>
                <w:sz w:val="21"/>
                <w:szCs w:val="21"/>
              </w:rPr>
              <w:t>、Ca</w:t>
            </w:r>
            <w:r>
              <w:rPr>
                <w:rFonts w:hint="default" w:ascii="Times New Roman" w:hAnsi="Times New Roman" w:eastAsia="宋体" w:cs="Times New Roman"/>
                <w:color w:val="auto"/>
                <w:spacing w:val="2"/>
                <w:sz w:val="21"/>
                <w:szCs w:val="21"/>
                <w:vertAlign w:val="superscript"/>
              </w:rPr>
              <w:t>2+</w:t>
            </w:r>
            <w:r>
              <w:rPr>
                <w:rFonts w:hint="default" w:ascii="Times New Roman" w:hAnsi="Times New Roman" w:eastAsia="宋体" w:cs="Times New Roman"/>
                <w:color w:val="auto"/>
                <w:spacing w:val="2"/>
                <w:sz w:val="21"/>
                <w:szCs w:val="21"/>
              </w:rPr>
              <w:t>、Mg</w:t>
            </w:r>
            <w:r>
              <w:rPr>
                <w:rFonts w:hint="default" w:ascii="Times New Roman" w:hAnsi="Times New Roman" w:eastAsia="宋体" w:cs="Times New Roman"/>
                <w:color w:val="auto"/>
                <w:spacing w:val="2"/>
                <w:sz w:val="21"/>
                <w:szCs w:val="21"/>
                <w:vertAlign w:val="superscript"/>
              </w:rPr>
              <w:t>2+</w:t>
            </w:r>
            <w:r>
              <w:rPr>
                <w:rFonts w:hint="default" w:ascii="Times New Roman" w:hAnsi="Times New Roman" w:eastAsia="宋体" w:cs="Times New Roman"/>
                <w:color w:val="auto"/>
                <w:spacing w:val="2"/>
                <w:sz w:val="21"/>
                <w:szCs w:val="21"/>
              </w:rPr>
              <w:t>、CO</w:t>
            </w:r>
            <w:r>
              <w:rPr>
                <w:rFonts w:hint="default" w:ascii="Times New Roman" w:hAnsi="Times New Roman" w:eastAsia="宋体" w:cs="Times New Roman"/>
                <w:color w:val="auto"/>
                <w:spacing w:val="2"/>
                <w:sz w:val="21"/>
                <w:szCs w:val="21"/>
                <w:vertAlign w:val="subscript"/>
              </w:rPr>
              <w:t>3</w:t>
            </w:r>
            <w:r>
              <w:rPr>
                <w:rFonts w:hint="default" w:ascii="Times New Roman" w:hAnsi="Times New Roman" w:eastAsia="宋体" w:cs="Times New Roman"/>
                <w:color w:val="auto"/>
                <w:spacing w:val="2"/>
                <w:sz w:val="21"/>
                <w:szCs w:val="21"/>
                <w:vertAlign w:val="superscript"/>
              </w:rPr>
              <w:t>2-</w:t>
            </w:r>
            <w:r>
              <w:rPr>
                <w:rFonts w:hint="default" w:ascii="Times New Roman" w:hAnsi="Times New Roman" w:eastAsia="宋体" w:cs="Times New Roman"/>
                <w:color w:val="auto"/>
                <w:spacing w:val="2"/>
                <w:sz w:val="21"/>
                <w:szCs w:val="21"/>
              </w:rPr>
              <w:t>、HCO</w:t>
            </w:r>
            <w:r>
              <w:rPr>
                <w:rFonts w:hint="default" w:ascii="Times New Roman" w:hAnsi="Times New Roman" w:eastAsia="宋体" w:cs="Times New Roman"/>
                <w:color w:val="auto"/>
                <w:spacing w:val="2"/>
                <w:sz w:val="21"/>
                <w:szCs w:val="21"/>
                <w:vertAlign w:val="subscript"/>
              </w:rPr>
              <w:t>3</w:t>
            </w:r>
            <w:r>
              <w:rPr>
                <w:rFonts w:hint="default" w:ascii="Times New Roman" w:hAnsi="Times New Roman" w:eastAsia="宋体" w:cs="Times New Roman"/>
                <w:color w:val="auto"/>
                <w:spacing w:val="2"/>
                <w:sz w:val="21"/>
                <w:szCs w:val="21"/>
                <w:vertAlign w:val="superscript"/>
              </w:rPr>
              <w:t>-</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pacing w:val="2"/>
                <w:sz w:val="21"/>
                <w:szCs w:val="21"/>
              </w:rPr>
              <w:t>Cl</w:t>
            </w:r>
            <w:r>
              <w:rPr>
                <w:rFonts w:hint="default" w:ascii="Times New Roman" w:hAnsi="Times New Roman" w:eastAsia="宋体" w:cs="Times New Roman"/>
                <w:color w:val="auto"/>
                <w:spacing w:val="2"/>
                <w:sz w:val="21"/>
                <w:szCs w:val="21"/>
                <w:vertAlign w:val="superscript"/>
              </w:rPr>
              <w:t>-</w:t>
            </w:r>
            <w:r>
              <w:rPr>
                <w:rFonts w:hint="default" w:ascii="Times New Roman" w:hAnsi="Times New Roman" w:eastAsia="宋体" w:cs="Times New Roman"/>
                <w:color w:val="auto"/>
                <w:spacing w:val="2"/>
                <w:sz w:val="21"/>
                <w:szCs w:val="21"/>
              </w:rPr>
              <w:t>、SO</w:t>
            </w:r>
            <w:r>
              <w:rPr>
                <w:rFonts w:hint="default" w:ascii="Times New Roman" w:hAnsi="Times New Roman" w:eastAsia="宋体" w:cs="Times New Roman"/>
                <w:color w:val="auto"/>
                <w:spacing w:val="2"/>
                <w:sz w:val="21"/>
                <w:szCs w:val="21"/>
                <w:vertAlign w:val="subscript"/>
              </w:rPr>
              <w:t>4</w:t>
            </w:r>
            <w:r>
              <w:rPr>
                <w:rFonts w:hint="default" w:ascii="Times New Roman" w:hAnsi="Times New Roman" w:eastAsia="宋体" w:cs="Times New Roman"/>
                <w:color w:val="auto"/>
                <w:spacing w:val="2"/>
                <w:sz w:val="21"/>
                <w:szCs w:val="21"/>
                <w:vertAlign w:val="superscript"/>
              </w:rPr>
              <w:t>2-</w:t>
            </w:r>
            <w:r>
              <w:rPr>
                <w:rFonts w:hint="default" w:ascii="Times New Roman" w:hAnsi="Times New Roman" w:eastAsia="宋体" w:cs="Times New Roman"/>
                <w:color w:val="auto"/>
                <w:sz w:val="21"/>
                <w:szCs w:val="21"/>
              </w:rPr>
              <w:t>、pH值、</w:t>
            </w:r>
            <w:r>
              <w:rPr>
                <w:rFonts w:hint="default" w:ascii="Times New Roman" w:hAnsi="Times New Roman" w:eastAsia="宋体" w:cs="Times New Roman"/>
                <w:color w:val="auto"/>
                <w:sz w:val="21"/>
                <w:szCs w:val="21"/>
                <w:lang w:val="en-US" w:eastAsia="zh-CN"/>
              </w:rPr>
              <w:t>氨氮、硝酸盐、亚硝酸盐、挥发性酚类、氰化物、砷、汞、铬(六价)、总硬度、铅、氟、镉、铁、锰、溶解性总固体、高锰酸盐指数、硫酸盐、氯化物、总大肠菌群、细菌总数。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9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0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声环境</w:t>
            </w:r>
          </w:p>
        </w:tc>
        <w:tc>
          <w:tcPr>
            <w:tcW w:w="616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连续等效 A 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119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0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土壤环境</w:t>
            </w:r>
          </w:p>
        </w:tc>
        <w:tc>
          <w:tcPr>
            <w:tcW w:w="616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9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0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生态环境</w:t>
            </w:r>
          </w:p>
        </w:tc>
        <w:tc>
          <w:tcPr>
            <w:tcW w:w="616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动植物多样性及植被、土地利用、水土流失以及地质灾害等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9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0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固体废物</w:t>
            </w:r>
          </w:p>
        </w:tc>
        <w:tc>
          <w:tcPr>
            <w:tcW w:w="616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91" w:type="dxa"/>
            <w:vMerge w:val="restart"/>
            <w:vAlign w:val="center"/>
          </w:tcPr>
          <w:p>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污染评价分析及预测因子</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07" w:type="dxa"/>
            <w:vAlign w:val="center"/>
          </w:tcPr>
          <w:p>
            <w:pPr>
              <w:keepNext w:val="0"/>
              <w:keepLines w:val="0"/>
              <w:widowControl/>
              <w:suppressLineNumbers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大气环境</w:t>
            </w:r>
          </w:p>
        </w:tc>
        <w:tc>
          <w:tcPr>
            <w:tcW w:w="616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lang w:val="en-US" w:eastAsia="zh-CN"/>
              </w:rPr>
              <w:t>x</w:t>
            </w: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19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0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地表水环境</w:t>
            </w:r>
          </w:p>
        </w:tc>
        <w:tc>
          <w:tcPr>
            <w:tcW w:w="6161" w:type="dxa"/>
            <w:vAlign w:val="center"/>
          </w:tcPr>
          <w:p>
            <w:pPr>
              <w:keepNext w:val="0"/>
              <w:keepLines w:val="0"/>
              <w:widowControl/>
              <w:suppressLineNumbers w:val="0"/>
              <w:spacing w:line="240" w:lineRule="auto"/>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污水处理设施可行性分析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119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0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地下水环境</w:t>
            </w:r>
          </w:p>
        </w:tc>
        <w:tc>
          <w:tcPr>
            <w:tcW w:w="6161" w:type="dxa"/>
            <w:vAlign w:val="center"/>
          </w:tcPr>
          <w:p>
            <w:pPr>
              <w:keepNext w:val="0"/>
              <w:keepLines w:val="0"/>
              <w:widowControl/>
              <w:suppressLineNumbers w:val="0"/>
              <w:spacing w:line="240" w:lineRule="auto"/>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119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0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土壤环境</w:t>
            </w:r>
          </w:p>
        </w:tc>
        <w:tc>
          <w:tcPr>
            <w:tcW w:w="616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定性分析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9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0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声环境</w:t>
            </w:r>
          </w:p>
        </w:tc>
        <w:tc>
          <w:tcPr>
            <w:tcW w:w="616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等效 A 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9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0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生态环境</w:t>
            </w:r>
          </w:p>
        </w:tc>
        <w:tc>
          <w:tcPr>
            <w:tcW w:w="6161" w:type="dxa"/>
            <w:vAlign w:val="center"/>
          </w:tcPr>
          <w:p>
            <w:pPr>
              <w:keepNext w:val="0"/>
              <w:keepLines w:val="0"/>
              <w:widowControl/>
              <w:suppressLineNumbers w:val="0"/>
              <w:spacing w:line="240" w:lineRule="auto"/>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项目对土地利用结构、动植物、农业生产、景观生态、水土流失、区域生态系统等的影响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119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0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固体废物</w:t>
            </w:r>
          </w:p>
        </w:tc>
        <w:tc>
          <w:tcPr>
            <w:tcW w:w="6161" w:type="dxa"/>
            <w:vAlign w:val="center"/>
          </w:tcPr>
          <w:p>
            <w:pPr>
              <w:keepNext w:val="0"/>
              <w:keepLines w:val="0"/>
              <w:widowControl/>
              <w:suppressLineNumbers w:val="0"/>
              <w:spacing w:line="240" w:lineRule="auto"/>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临时土石方、生活垃圾、清管废渣、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9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0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环境风险</w:t>
            </w:r>
          </w:p>
        </w:tc>
        <w:tc>
          <w:tcPr>
            <w:tcW w:w="6161" w:type="dxa"/>
            <w:vAlign w:val="center"/>
          </w:tcPr>
          <w:p>
            <w:pPr>
              <w:keepNext w:val="0"/>
              <w:keepLines w:val="0"/>
              <w:widowControl/>
              <w:suppressLineNumbers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涉气风险评价因子：CH</w:t>
            </w:r>
            <w:r>
              <w:rPr>
                <w:rFonts w:hint="default" w:ascii="Times New Roman" w:hAnsi="Times New Roman" w:eastAsia="宋体" w:cs="Times New Roman"/>
                <w:color w:val="auto"/>
                <w:kern w:val="0"/>
                <w:sz w:val="21"/>
                <w:szCs w:val="21"/>
                <w:vertAlign w:val="subscript"/>
                <w:lang w:val="en-US" w:eastAsia="zh-CN" w:bidi="ar"/>
              </w:rPr>
              <w:t>4</w:t>
            </w:r>
          </w:p>
          <w:p>
            <w:pPr>
              <w:keepNext w:val="0"/>
              <w:keepLines w:val="0"/>
              <w:widowControl/>
              <w:suppressLineNumbers w:val="0"/>
              <w:spacing w:line="240" w:lineRule="auto"/>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涉水风险评价因子：COD</w:t>
            </w:r>
            <w:r>
              <w:rPr>
                <w:rFonts w:hint="default" w:ascii="Times New Roman" w:hAnsi="Times New Roman" w:eastAsia="宋体" w:cs="Times New Roman"/>
                <w:color w:val="auto"/>
                <w:kern w:val="0"/>
                <w:sz w:val="21"/>
                <w:szCs w:val="21"/>
                <w:vertAlign w:val="subscript"/>
                <w:lang w:val="en-US" w:eastAsia="zh-CN" w:bidi="ar"/>
              </w:rPr>
              <w:t>cr</w:t>
            </w:r>
            <w:r>
              <w:rPr>
                <w:rFonts w:hint="default" w:ascii="Times New Roman" w:hAnsi="Times New Roman" w:eastAsia="宋体" w:cs="Times New Roman"/>
                <w:color w:val="auto"/>
                <w:kern w:val="0"/>
                <w:sz w:val="21"/>
                <w:szCs w:val="21"/>
                <w:lang w:val="en-US" w:eastAsia="zh-CN" w:bidi="ar"/>
              </w:rPr>
              <w:t>、氯化物、硫化物</w:t>
            </w:r>
          </w:p>
        </w:tc>
      </w:tr>
    </w:tbl>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1.4.2影响评价因子</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根据工程施工期、运营期产污情况以及评价区域环境质量现状，采用矩阵对环境影响因素进行识别，结果见表1.4-2。</w:t>
      </w:r>
    </w:p>
    <w:p>
      <w:pPr>
        <w:pStyle w:val="13"/>
        <w:bidi w:val="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表1.4-2  环境影响因子识别筛选表</w:t>
      </w:r>
    </w:p>
    <w:tbl>
      <w:tblPr>
        <w:tblStyle w:val="24"/>
        <w:tblW w:w="4999" w:type="pct"/>
        <w:jc w:val="center"/>
        <w:shd w:val="clear" w:color="auto" w:fill="auto"/>
        <w:tblLayout w:type="autofit"/>
        <w:tblCellMar>
          <w:top w:w="0" w:type="dxa"/>
          <w:left w:w="108" w:type="dxa"/>
          <w:bottom w:w="0" w:type="dxa"/>
          <w:right w:w="108" w:type="dxa"/>
        </w:tblCellMar>
      </w:tblPr>
      <w:tblGrid>
        <w:gridCol w:w="1322"/>
        <w:gridCol w:w="2157"/>
        <w:gridCol w:w="2496"/>
        <w:gridCol w:w="1481"/>
        <w:gridCol w:w="1716"/>
      </w:tblGrid>
      <w:tr>
        <w:tblPrEx>
          <w:tblCellMar>
            <w:top w:w="0" w:type="dxa"/>
            <w:left w:w="108" w:type="dxa"/>
            <w:bottom w:w="0" w:type="dxa"/>
            <w:right w:w="108" w:type="dxa"/>
          </w:tblCellMar>
        </w:tblPrEx>
        <w:trPr>
          <w:trHeight w:val="270" w:hRule="atLeast"/>
          <w:jc w:val="center"/>
        </w:trPr>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类别</w:t>
            </w: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环境要素</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施工期</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营运期</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非正常工况</w:t>
            </w:r>
          </w:p>
        </w:tc>
      </w:tr>
      <w:tr>
        <w:tblPrEx>
          <w:shd w:val="clear" w:color="auto" w:fill="auto"/>
          <w:tblCellMar>
            <w:top w:w="0" w:type="dxa"/>
            <w:left w:w="108" w:type="dxa"/>
            <w:bottom w:w="0" w:type="dxa"/>
            <w:right w:w="108" w:type="dxa"/>
          </w:tblCellMar>
        </w:tblPrEx>
        <w:trPr>
          <w:trHeight w:val="300" w:hRule="atLeast"/>
          <w:jc w:val="center"/>
        </w:trPr>
        <w:tc>
          <w:tcPr>
            <w:tcW w:w="72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自然生态环境</w:t>
            </w: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地形地貌</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300" w:hRule="atLeast"/>
          <w:jc w:val="center"/>
        </w:trPr>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植被与水土流失</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-3D</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r>
      <w:tr>
        <w:tblPrEx>
          <w:shd w:val="clear" w:color="auto" w:fill="auto"/>
          <w:tblCellMar>
            <w:top w:w="0" w:type="dxa"/>
            <w:left w:w="108" w:type="dxa"/>
            <w:bottom w:w="0" w:type="dxa"/>
            <w:right w:w="108" w:type="dxa"/>
          </w:tblCellMar>
        </w:tblPrEx>
        <w:trPr>
          <w:trHeight w:val="300" w:hRule="atLeast"/>
          <w:jc w:val="center"/>
        </w:trPr>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土壤</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-1L</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r>
      <w:tr>
        <w:tblPrEx>
          <w:shd w:val="clear" w:color="auto" w:fill="auto"/>
          <w:tblCellMar>
            <w:top w:w="0" w:type="dxa"/>
            <w:left w:w="108" w:type="dxa"/>
            <w:bottom w:w="0" w:type="dxa"/>
            <w:right w:w="108" w:type="dxa"/>
          </w:tblCellMar>
        </w:tblPrEx>
        <w:trPr>
          <w:trHeight w:val="300" w:hRule="atLeast"/>
          <w:jc w:val="center"/>
        </w:trPr>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土地利用</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-2D</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-1L</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r>
      <w:tr>
        <w:tblPrEx>
          <w:shd w:val="clear" w:color="auto" w:fill="auto"/>
          <w:tblCellMar>
            <w:top w:w="0" w:type="dxa"/>
            <w:left w:w="108" w:type="dxa"/>
            <w:bottom w:w="0" w:type="dxa"/>
            <w:right w:w="108" w:type="dxa"/>
          </w:tblCellMar>
        </w:tblPrEx>
        <w:trPr>
          <w:trHeight w:val="300" w:hRule="atLeast"/>
          <w:jc w:val="center"/>
        </w:trPr>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野生动植物</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r>
      <w:tr>
        <w:tblPrEx>
          <w:tblCellMar>
            <w:top w:w="0" w:type="dxa"/>
            <w:left w:w="108" w:type="dxa"/>
            <w:bottom w:w="0" w:type="dxa"/>
            <w:right w:w="108" w:type="dxa"/>
          </w:tblCellMar>
        </w:tblPrEx>
        <w:trPr>
          <w:trHeight w:val="300" w:hRule="atLeast"/>
          <w:jc w:val="center"/>
        </w:trPr>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保护区</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-1L</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r>
      <w:tr>
        <w:tblPrEx>
          <w:tblCellMar>
            <w:top w:w="0" w:type="dxa"/>
            <w:left w:w="108" w:type="dxa"/>
            <w:bottom w:w="0" w:type="dxa"/>
            <w:right w:w="108" w:type="dxa"/>
          </w:tblCellMar>
        </w:tblPrEx>
        <w:trPr>
          <w:trHeight w:val="300" w:hRule="atLeast"/>
          <w:jc w:val="center"/>
        </w:trPr>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农业</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r>
      <w:tr>
        <w:tblPrEx>
          <w:tblCellMar>
            <w:top w:w="0" w:type="dxa"/>
            <w:left w:w="108" w:type="dxa"/>
            <w:bottom w:w="0" w:type="dxa"/>
            <w:right w:w="108" w:type="dxa"/>
          </w:tblCellMar>
        </w:tblPrEx>
        <w:trPr>
          <w:trHeight w:val="300" w:hRule="atLeast"/>
          <w:jc w:val="center"/>
        </w:trPr>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林业</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r>
      <w:tr>
        <w:tblPrEx>
          <w:tblCellMar>
            <w:top w:w="0" w:type="dxa"/>
            <w:left w:w="108" w:type="dxa"/>
            <w:bottom w:w="0" w:type="dxa"/>
            <w:right w:w="108" w:type="dxa"/>
          </w:tblCellMar>
        </w:tblPrEx>
        <w:trPr>
          <w:trHeight w:val="300" w:hRule="atLeast"/>
          <w:jc w:val="center"/>
        </w:trPr>
        <w:tc>
          <w:tcPr>
            <w:tcW w:w="72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环境质量</w:t>
            </w: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地表水</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-2D</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-1L</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r>
      <w:tr>
        <w:tblPrEx>
          <w:shd w:val="clear" w:color="auto" w:fill="auto"/>
          <w:tblCellMar>
            <w:top w:w="0" w:type="dxa"/>
            <w:left w:w="108" w:type="dxa"/>
            <w:bottom w:w="0" w:type="dxa"/>
            <w:right w:w="108" w:type="dxa"/>
          </w:tblCellMar>
        </w:tblPrEx>
        <w:trPr>
          <w:trHeight w:val="300" w:hRule="atLeast"/>
          <w:jc w:val="center"/>
        </w:trPr>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地下水</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-1L</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r>
      <w:tr>
        <w:tblPrEx>
          <w:tblCellMar>
            <w:top w:w="0" w:type="dxa"/>
            <w:left w:w="108" w:type="dxa"/>
            <w:bottom w:w="0" w:type="dxa"/>
            <w:right w:w="108" w:type="dxa"/>
          </w:tblCellMar>
        </w:tblPrEx>
        <w:trPr>
          <w:trHeight w:val="300" w:hRule="atLeast"/>
          <w:jc w:val="center"/>
        </w:trPr>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环境空气</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-3D</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-1L</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r>
      <w:tr>
        <w:tblPrEx>
          <w:shd w:val="clear" w:color="auto" w:fill="auto"/>
          <w:tblCellMar>
            <w:top w:w="0" w:type="dxa"/>
            <w:left w:w="108" w:type="dxa"/>
            <w:bottom w:w="0" w:type="dxa"/>
            <w:right w:w="108" w:type="dxa"/>
          </w:tblCellMar>
        </w:tblPrEx>
        <w:trPr>
          <w:trHeight w:val="300" w:hRule="atLeast"/>
          <w:jc w:val="center"/>
        </w:trPr>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声环境</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r>
      <w:tr>
        <w:tblPrEx>
          <w:shd w:val="clear" w:color="auto" w:fill="auto"/>
          <w:tblCellMar>
            <w:top w:w="0" w:type="dxa"/>
            <w:left w:w="108" w:type="dxa"/>
            <w:bottom w:w="0" w:type="dxa"/>
            <w:right w:w="108" w:type="dxa"/>
          </w:tblCellMar>
        </w:tblPrEx>
        <w:trPr>
          <w:trHeight w:val="300" w:hRule="atLeast"/>
          <w:jc w:val="center"/>
        </w:trPr>
        <w:tc>
          <w:tcPr>
            <w:tcW w:w="72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社会环境</w:t>
            </w: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居住</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300" w:hRule="atLeast"/>
          <w:jc w:val="center"/>
        </w:trPr>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交通运输</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CellMar>
            <w:top w:w="0" w:type="dxa"/>
            <w:left w:w="108" w:type="dxa"/>
            <w:bottom w:w="0" w:type="dxa"/>
            <w:right w:w="108" w:type="dxa"/>
          </w:tblCellMar>
        </w:tblPrEx>
        <w:trPr>
          <w:trHeight w:val="300" w:hRule="atLeast"/>
          <w:jc w:val="center"/>
        </w:trPr>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社会经济</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+2L</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r>
      <w:tr>
        <w:tblPrEx>
          <w:tblCellMar>
            <w:top w:w="0" w:type="dxa"/>
            <w:left w:w="108" w:type="dxa"/>
            <w:bottom w:w="0" w:type="dxa"/>
            <w:right w:w="108" w:type="dxa"/>
          </w:tblCellMar>
        </w:tblPrEx>
        <w:trPr>
          <w:trHeight w:val="300" w:hRule="atLeast"/>
          <w:jc w:val="center"/>
        </w:trPr>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劳动就业</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+1L</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420"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r>
      <w:tr>
        <w:tblPrEx>
          <w:shd w:val="clear" w:color="auto" w:fill="auto"/>
          <w:tblCellMar>
            <w:top w:w="0" w:type="dxa"/>
            <w:left w:w="108" w:type="dxa"/>
            <w:bottom w:w="0" w:type="dxa"/>
            <w:right w:w="108" w:type="dxa"/>
          </w:tblCellMar>
        </w:tblPrEx>
        <w:trPr>
          <w:trHeight w:val="300" w:hRule="atLeast"/>
          <w:jc w:val="center"/>
        </w:trPr>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1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Style w:val="76"/>
                <w:rFonts w:hint="default" w:ascii="Times New Roman" w:hAnsi="Times New Roman" w:eastAsia="宋体" w:cs="Times New Roman"/>
                <w:color w:val="auto"/>
                <w:sz w:val="21"/>
                <w:szCs w:val="21"/>
                <w:lang w:val="en-US" w:eastAsia="zh-CN" w:bidi="ar"/>
              </w:rPr>
              <w:t>景观</w:t>
            </w:r>
          </w:p>
        </w:tc>
        <w:tc>
          <w:tcPr>
            <w:tcW w:w="13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-1D</w:t>
            </w:r>
          </w:p>
        </w:tc>
        <w:tc>
          <w:tcPr>
            <w:tcW w:w="8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bl>
    <w:p>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val="en-US" w:eastAsia="zh-CN" w:bidi="ar"/>
        </w:rPr>
        <w:t>注：表中“+”表示有利影响、“-”表示不利影响。“1”表示轻度影响，“2”表示中度影响，“3”表示重大影响，“D”表示短期影响，“L”表示长期影响，空格表示无明显影响。</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由上表可见，本工程对环境的影响主要为施工过程对自然生态环境（地形地貌、植被、土壤与水土流失、动植物与生态、农业与土地利用）的影响以及非正常工况状态下对周边生态环境、社会环境的影响。 </w:t>
      </w:r>
    </w:p>
    <w:p>
      <w:pPr>
        <w:pStyle w:val="5"/>
        <w:bidi w:val="0"/>
        <w:rPr>
          <w:rFonts w:hint="default" w:ascii="Times New Roman" w:hAnsi="Times New Roman" w:eastAsia="宋体" w:cs="Times New Roman"/>
          <w:color w:val="auto"/>
          <w:lang w:val="en-US" w:eastAsia="zh-CN"/>
        </w:rPr>
      </w:pPr>
      <w:bookmarkStart w:id="16" w:name="_Toc14397"/>
      <w:r>
        <w:rPr>
          <w:rFonts w:hint="default" w:ascii="Times New Roman" w:hAnsi="Times New Roman" w:eastAsia="宋体" w:cs="Times New Roman"/>
          <w:color w:val="auto"/>
          <w:lang w:val="en-US" w:eastAsia="zh-CN"/>
        </w:rPr>
        <w:t>1.5 评价标准</w:t>
      </w:r>
      <w:bookmarkEnd w:id="16"/>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1.5.1 环境质量标准</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1.5.1.1 环境空气</w:t>
      </w:r>
      <w:r>
        <w:rPr>
          <w:rFonts w:hint="default" w:ascii="Times New Roman" w:hAnsi="Times New Roman" w:eastAsia="宋体" w:cs="Times New Roman"/>
          <w:color w:val="auto"/>
          <w:kern w:val="0"/>
          <w:sz w:val="24"/>
          <w:szCs w:val="24"/>
          <w:lang w:val="en-US" w:eastAsia="zh-CN" w:bidi="ar"/>
        </w:rPr>
        <w:t xml:space="preserve">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环境空气质量执行《环境空气质量标准》(GB 3095-2012)中的二级标准。非甲烷总烃参照执行《大气污染物综合排放标准详解》中制定非甲烷总烃排放标准时选用的环境质量标准 2.0mg/m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的限值。</w:t>
      </w:r>
    </w:p>
    <w:p>
      <w:pPr>
        <w:pStyle w:val="6"/>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表 1.5-1 环境空气质量标准</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0"/>
        <w:gridCol w:w="839"/>
        <w:gridCol w:w="1287"/>
        <w:gridCol w:w="1170"/>
        <w:gridCol w:w="1379"/>
        <w:gridCol w:w="30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0" w:type="dxa"/>
            <w:vMerge w:val="restart"/>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污染物名称</w:t>
            </w:r>
          </w:p>
        </w:tc>
        <w:tc>
          <w:tcPr>
            <w:tcW w:w="3296" w:type="dxa"/>
            <w:gridSpan w:val="3"/>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浓度限值</w:t>
            </w:r>
          </w:p>
        </w:tc>
        <w:tc>
          <w:tcPr>
            <w:tcW w:w="1379" w:type="dxa"/>
            <w:vMerge w:val="restart"/>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单位</w:t>
            </w:r>
          </w:p>
        </w:tc>
        <w:tc>
          <w:tcPr>
            <w:tcW w:w="3081" w:type="dxa"/>
            <w:vMerge w:val="restart"/>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0" w:type="dxa"/>
            <w:vMerge w:val="continue"/>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p>
        </w:tc>
        <w:tc>
          <w:tcPr>
            <w:tcW w:w="83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年平均</w:t>
            </w:r>
          </w:p>
        </w:tc>
        <w:tc>
          <w:tcPr>
            <w:tcW w:w="1287"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24小时平均</w:t>
            </w:r>
          </w:p>
        </w:tc>
        <w:tc>
          <w:tcPr>
            <w:tcW w:w="117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1小时平均</w:t>
            </w:r>
          </w:p>
        </w:tc>
        <w:tc>
          <w:tcPr>
            <w:tcW w:w="1379" w:type="dxa"/>
            <w:vMerge w:val="continue"/>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p>
        </w:tc>
        <w:tc>
          <w:tcPr>
            <w:tcW w:w="3081" w:type="dxa"/>
            <w:vMerge w:val="continue"/>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PM</w:t>
            </w:r>
            <w:r>
              <w:rPr>
                <w:rFonts w:hint="default" w:ascii="Times New Roman" w:hAnsi="Times New Roman" w:eastAsia="宋体" w:cs="Times New Roman"/>
                <w:color w:val="auto"/>
                <w:kern w:val="0"/>
                <w:sz w:val="21"/>
                <w:szCs w:val="21"/>
                <w:vertAlign w:val="subscript"/>
              </w:rPr>
              <w:t>10</w:t>
            </w:r>
          </w:p>
        </w:tc>
        <w:tc>
          <w:tcPr>
            <w:tcW w:w="83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70</w:t>
            </w:r>
          </w:p>
        </w:tc>
        <w:tc>
          <w:tcPr>
            <w:tcW w:w="1287"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150</w:t>
            </w:r>
          </w:p>
        </w:tc>
        <w:tc>
          <w:tcPr>
            <w:tcW w:w="117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450</w:t>
            </w:r>
          </w:p>
        </w:tc>
        <w:tc>
          <w:tcPr>
            <w:tcW w:w="137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μg/m</w:t>
            </w:r>
            <w:r>
              <w:rPr>
                <w:rFonts w:hint="default" w:ascii="Times New Roman" w:hAnsi="Times New Roman" w:eastAsia="宋体" w:cs="Times New Roman"/>
                <w:color w:val="auto"/>
                <w:kern w:val="0"/>
                <w:sz w:val="21"/>
                <w:szCs w:val="21"/>
                <w:vertAlign w:val="superscript"/>
              </w:rPr>
              <w:t>3</w:t>
            </w:r>
          </w:p>
        </w:tc>
        <w:tc>
          <w:tcPr>
            <w:tcW w:w="3081" w:type="dxa"/>
            <w:vMerge w:val="restart"/>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《环境空气质量标准》（GB3095-2012）中二级标准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TSP</w:t>
            </w:r>
          </w:p>
        </w:tc>
        <w:tc>
          <w:tcPr>
            <w:tcW w:w="83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200</w:t>
            </w:r>
          </w:p>
        </w:tc>
        <w:tc>
          <w:tcPr>
            <w:tcW w:w="1287"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300</w:t>
            </w:r>
          </w:p>
        </w:tc>
        <w:tc>
          <w:tcPr>
            <w:tcW w:w="117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137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μg/m</w:t>
            </w:r>
            <w:r>
              <w:rPr>
                <w:rFonts w:hint="default" w:ascii="Times New Roman" w:hAnsi="Times New Roman" w:eastAsia="宋体" w:cs="Times New Roman"/>
                <w:color w:val="auto"/>
                <w:kern w:val="0"/>
                <w:sz w:val="21"/>
                <w:szCs w:val="21"/>
                <w:vertAlign w:val="superscript"/>
              </w:rPr>
              <w:t>3</w:t>
            </w:r>
          </w:p>
        </w:tc>
        <w:tc>
          <w:tcPr>
            <w:tcW w:w="3081" w:type="dxa"/>
            <w:vMerge w:val="continue"/>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SO</w:t>
            </w:r>
            <w:r>
              <w:rPr>
                <w:rFonts w:hint="default" w:ascii="Times New Roman" w:hAnsi="Times New Roman" w:eastAsia="宋体" w:cs="Times New Roman"/>
                <w:color w:val="auto"/>
                <w:kern w:val="0"/>
                <w:sz w:val="21"/>
                <w:szCs w:val="21"/>
                <w:vertAlign w:val="subscript"/>
              </w:rPr>
              <w:t>2</w:t>
            </w:r>
          </w:p>
        </w:tc>
        <w:tc>
          <w:tcPr>
            <w:tcW w:w="83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60</w:t>
            </w:r>
          </w:p>
        </w:tc>
        <w:tc>
          <w:tcPr>
            <w:tcW w:w="1287"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150</w:t>
            </w:r>
          </w:p>
        </w:tc>
        <w:tc>
          <w:tcPr>
            <w:tcW w:w="117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500</w:t>
            </w:r>
          </w:p>
        </w:tc>
        <w:tc>
          <w:tcPr>
            <w:tcW w:w="137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μg/m</w:t>
            </w:r>
            <w:r>
              <w:rPr>
                <w:rFonts w:hint="default" w:ascii="Times New Roman" w:hAnsi="Times New Roman" w:eastAsia="宋体" w:cs="Times New Roman"/>
                <w:color w:val="auto"/>
                <w:kern w:val="0"/>
                <w:sz w:val="21"/>
                <w:szCs w:val="21"/>
                <w:vertAlign w:val="superscript"/>
              </w:rPr>
              <w:t>3</w:t>
            </w:r>
          </w:p>
        </w:tc>
        <w:tc>
          <w:tcPr>
            <w:tcW w:w="3081" w:type="dxa"/>
            <w:vMerge w:val="continue"/>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NO</w:t>
            </w:r>
            <w:r>
              <w:rPr>
                <w:rFonts w:hint="default" w:ascii="Times New Roman" w:hAnsi="Times New Roman" w:eastAsia="宋体" w:cs="Times New Roman"/>
                <w:color w:val="auto"/>
                <w:kern w:val="0"/>
                <w:sz w:val="21"/>
                <w:szCs w:val="21"/>
                <w:vertAlign w:val="subscript"/>
              </w:rPr>
              <w:t>2</w:t>
            </w:r>
          </w:p>
        </w:tc>
        <w:tc>
          <w:tcPr>
            <w:tcW w:w="83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40</w:t>
            </w:r>
          </w:p>
        </w:tc>
        <w:tc>
          <w:tcPr>
            <w:tcW w:w="1287"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80</w:t>
            </w:r>
          </w:p>
        </w:tc>
        <w:tc>
          <w:tcPr>
            <w:tcW w:w="117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200</w:t>
            </w:r>
          </w:p>
        </w:tc>
        <w:tc>
          <w:tcPr>
            <w:tcW w:w="137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μg/m</w:t>
            </w:r>
            <w:r>
              <w:rPr>
                <w:rFonts w:hint="default" w:ascii="Times New Roman" w:hAnsi="Times New Roman" w:eastAsia="宋体" w:cs="Times New Roman"/>
                <w:color w:val="auto"/>
                <w:kern w:val="0"/>
                <w:sz w:val="21"/>
                <w:szCs w:val="21"/>
                <w:vertAlign w:val="superscript"/>
              </w:rPr>
              <w:t>3</w:t>
            </w:r>
          </w:p>
        </w:tc>
        <w:tc>
          <w:tcPr>
            <w:tcW w:w="3081" w:type="dxa"/>
            <w:vMerge w:val="continue"/>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PM</w:t>
            </w:r>
            <w:r>
              <w:rPr>
                <w:rFonts w:hint="default" w:ascii="Times New Roman" w:hAnsi="Times New Roman" w:eastAsia="宋体" w:cs="Times New Roman"/>
                <w:color w:val="auto"/>
                <w:kern w:val="0"/>
                <w:sz w:val="21"/>
                <w:szCs w:val="21"/>
                <w:vertAlign w:val="subscript"/>
              </w:rPr>
              <w:t>2.5</w:t>
            </w:r>
          </w:p>
        </w:tc>
        <w:tc>
          <w:tcPr>
            <w:tcW w:w="83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35</w:t>
            </w:r>
          </w:p>
        </w:tc>
        <w:tc>
          <w:tcPr>
            <w:tcW w:w="1287"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75</w:t>
            </w:r>
          </w:p>
        </w:tc>
        <w:tc>
          <w:tcPr>
            <w:tcW w:w="117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137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μg/m</w:t>
            </w:r>
            <w:r>
              <w:rPr>
                <w:rFonts w:hint="default" w:ascii="Times New Roman" w:hAnsi="Times New Roman" w:eastAsia="宋体" w:cs="Times New Roman"/>
                <w:color w:val="auto"/>
                <w:kern w:val="0"/>
                <w:sz w:val="21"/>
                <w:szCs w:val="21"/>
                <w:vertAlign w:val="superscript"/>
              </w:rPr>
              <w:t>3</w:t>
            </w:r>
          </w:p>
        </w:tc>
        <w:tc>
          <w:tcPr>
            <w:tcW w:w="3081" w:type="dxa"/>
            <w:vMerge w:val="continue"/>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CO</w:t>
            </w:r>
          </w:p>
        </w:tc>
        <w:tc>
          <w:tcPr>
            <w:tcW w:w="83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1287"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w:t>
            </w:r>
          </w:p>
        </w:tc>
        <w:tc>
          <w:tcPr>
            <w:tcW w:w="117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w:t>
            </w:r>
          </w:p>
        </w:tc>
        <w:tc>
          <w:tcPr>
            <w:tcW w:w="137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mg/m</w:t>
            </w:r>
            <w:r>
              <w:rPr>
                <w:rFonts w:hint="default" w:ascii="Times New Roman" w:hAnsi="Times New Roman" w:eastAsia="宋体" w:cs="Times New Roman"/>
                <w:color w:val="auto"/>
                <w:kern w:val="0"/>
                <w:sz w:val="21"/>
                <w:szCs w:val="21"/>
                <w:vertAlign w:val="superscript"/>
              </w:rPr>
              <w:t>3</w:t>
            </w:r>
          </w:p>
        </w:tc>
        <w:tc>
          <w:tcPr>
            <w:tcW w:w="3081" w:type="dxa"/>
            <w:vMerge w:val="continue"/>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O</w:t>
            </w:r>
            <w:r>
              <w:rPr>
                <w:rFonts w:hint="default" w:ascii="Times New Roman" w:hAnsi="Times New Roman" w:eastAsia="宋体" w:cs="Times New Roman"/>
                <w:color w:val="auto"/>
                <w:kern w:val="0"/>
                <w:sz w:val="21"/>
                <w:szCs w:val="21"/>
                <w:vertAlign w:val="subscript"/>
              </w:rPr>
              <w:t>3</w:t>
            </w:r>
          </w:p>
        </w:tc>
        <w:tc>
          <w:tcPr>
            <w:tcW w:w="83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1287"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vertAlign w:val="superscript"/>
              </w:rPr>
            </w:pPr>
            <w:r>
              <w:rPr>
                <w:rFonts w:hint="default" w:ascii="Times New Roman" w:hAnsi="Times New Roman" w:eastAsia="宋体" w:cs="Times New Roman"/>
                <w:color w:val="auto"/>
                <w:kern w:val="0"/>
                <w:sz w:val="21"/>
                <w:szCs w:val="21"/>
              </w:rPr>
              <w:t>160</w:t>
            </w:r>
            <w:r>
              <w:rPr>
                <w:rFonts w:hint="default" w:ascii="Times New Roman" w:hAnsi="Times New Roman" w:eastAsia="宋体" w:cs="Times New Roman"/>
                <w:color w:val="auto"/>
                <w:kern w:val="0"/>
                <w:sz w:val="21"/>
                <w:szCs w:val="21"/>
                <w:vertAlign w:val="superscript"/>
              </w:rPr>
              <w:t>*</w:t>
            </w:r>
          </w:p>
        </w:tc>
        <w:tc>
          <w:tcPr>
            <w:tcW w:w="117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200</w:t>
            </w:r>
          </w:p>
        </w:tc>
        <w:tc>
          <w:tcPr>
            <w:tcW w:w="137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μg/m</w:t>
            </w:r>
            <w:r>
              <w:rPr>
                <w:rFonts w:hint="default" w:ascii="Times New Roman" w:hAnsi="Times New Roman" w:eastAsia="宋体" w:cs="Times New Roman"/>
                <w:color w:val="auto"/>
                <w:kern w:val="0"/>
                <w:sz w:val="21"/>
                <w:szCs w:val="21"/>
                <w:vertAlign w:val="superscript"/>
              </w:rPr>
              <w:t>3</w:t>
            </w:r>
          </w:p>
        </w:tc>
        <w:tc>
          <w:tcPr>
            <w:tcW w:w="3081" w:type="dxa"/>
            <w:vMerge w:val="continue"/>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非甲烷总烃</w:t>
            </w:r>
          </w:p>
        </w:tc>
        <w:tc>
          <w:tcPr>
            <w:tcW w:w="83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c>
          <w:tcPr>
            <w:tcW w:w="1287"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c>
          <w:tcPr>
            <w:tcW w:w="1170"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2.0</w:t>
            </w:r>
          </w:p>
        </w:tc>
        <w:tc>
          <w:tcPr>
            <w:tcW w:w="1379"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μg/m</w:t>
            </w:r>
            <w:r>
              <w:rPr>
                <w:rFonts w:hint="default" w:ascii="Times New Roman" w:hAnsi="Times New Roman" w:eastAsia="宋体" w:cs="Times New Roman"/>
                <w:color w:val="auto"/>
                <w:kern w:val="0"/>
                <w:sz w:val="21"/>
                <w:szCs w:val="21"/>
                <w:vertAlign w:val="superscript"/>
              </w:rPr>
              <w:t>3</w:t>
            </w:r>
          </w:p>
        </w:tc>
        <w:tc>
          <w:tcPr>
            <w:tcW w:w="3081" w:type="dxa"/>
            <w:tcBorders>
              <w:tl2br w:val="nil"/>
              <w:tr2bl w:val="nil"/>
            </w:tcBorders>
            <w:noWrap w:val="0"/>
            <w:vAlign w:val="center"/>
          </w:tcPr>
          <w:p>
            <w:pPr>
              <w:tabs>
                <w:tab w:val="left" w:pos="377"/>
              </w:tabs>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《大气污染物综合排放标准详解》</w:t>
            </w:r>
          </w:p>
        </w:tc>
      </w:tr>
    </w:tbl>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2"/>
        </w:rPr>
        <w:t>备注：*表示</w:t>
      </w:r>
      <w:r>
        <w:rPr>
          <w:rFonts w:hint="default" w:ascii="Times New Roman" w:hAnsi="Times New Roman" w:eastAsia="宋体" w:cs="Times New Roman"/>
          <w:color w:val="auto"/>
          <w:szCs w:val="21"/>
        </w:rPr>
        <w:t>日最大8小时平均浓度</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1.5.1.2 地表水 </w:t>
      </w:r>
    </w:p>
    <w:p>
      <w:pPr>
        <w:ind w:firstLine="480" w:firstLineChars="200"/>
        <w:rPr>
          <w:rFonts w:hint="default" w:ascii="Times New Roman" w:hAnsi="Times New Roman" w:eastAsia="宋体" w:cs="Times New Roman"/>
          <w:color w:val="auto"/>
          <w:kern w:val="2"/>
        </w:rPr>
      </w:pPr>
      <w:r>
        <w:rPr>
          <w:rFonts w:hint="default" w:ascii="Times New Roman" w:hAnsi="Times New Roman" w:eastAsia="宋体" w:cs="Times New Roman"/>
          <w:color w:val="auto"/>
          <w:kern w:val="2"/>
          <w:lang w:eastAsia="zh-CN"/>
        </w:rPr>
        <w:t>东河、青盐沟</w:t>
      </w:r>
      <w:r>
        <w:rPr>
          <w:rFonts w:hint="default" w:ascii="Times New Roman" w:hAnsi="Times New Roman" w:eastAsia="宋体" w:cs="Times New Roman"/>
          <w:color w:val="auto"/>
          <w:kern w:val="2"/>
        </w:rPr>
        <w:t>执行《地表水环境质量标准》（GB3838-2002）中的Ⅲ类标准，其中SS在《地表水环境质量标准》中没有环境标准值，参照执行《地表水资源质量标准》(SL63-94)，动植物油参照《地表水环境质量标准》(GB3838-2002)中石油类。详见表</w:t>
      </w:r>
      <w:r>
        <w:rPr>
          <w:rFonts w:hint="default" w:ascii="Times New Roman" w:hAnsi="Times New Roman" w:eastAsia="宋体" w:cs="Times New Roman"/>
          <w:color w:val="auto"/>
          <w:kern w:val="2"/>
          <w:lang w:val="en-US" w:eastAsia="zh-CN"/>
        </w:rPr>
        <w:t>1</w:t>
      </w:r>
      <w:r>
        <w:rPr>
          <w:rFonts w:hint="default" w:ascii="Times New Roman" w:hAnsi="Times New Roman" w:eastAsia="宋体" w:cs="Times New Roman"/>
          <w:color w:val="auto"/>
          <w:kern w:val="2"/>
        </w:rPr>
        <w:t>.</w:t>
      </w:r>
      <w:r>
        <w:rPr>
          <w:rFonts w:hint="default" w:ascii="Times New Roman" w:hAnsi="Times New Roman" w:eastAsia="宋体" w:cs="Times New Roman"/>
          <w:color w:val="auto"/>
          <w:kern w:val="2"/>
          <w:lang w:val="en-US" w:eastAsia="zh-CN"/>
        </w:rPr>
        <w:t>5</w:t>
      </w:r>
      <w:r>
        <w:rPr>
          <w:rFonts w:hint="default" w:ascii="Times New Roman" w:hAnsi="Times New Roman" w:eastAsia="宋体" w:cs="Times New Roman"/>
          <w:color w:val="auto"/>
          <w:kern w:val="2"/>
        </w:rPr>
        <w:t>-</w:t>
      </w:r>
      <w:r>
        <w:rPr>
          <w:rFonts w:hint="default" w:ascii="Times New Roman" w:hAnsi="Times New Roman" w:eastAsia="宋体" w:cs="Times New Roman"/>
          <w:color w:val="auto"/>
          <w:kern w:val="2"/>
          <w:lang w:val="en-US" w:eastAsia="zh-CN"/>
        </w:rPr>
        <w:t>2</w:t>
      </w:r>
      <w:r>
        <w:rPr>
          <w:rFonts w:hint="default" w:ascii="Times New Roman" w:hAnsi="Times New Roman" w:eastAsia="宋体" w:cs="Times New Roman"/>
          <w:color w:val="auto"/>
          <w:kern w:val="2"/>
        </w:rPr>
        <w:t>。</w:t>
      </w:r>
    </w:p>
    <w:p>
      <w:pPr>
        <w:spacing w:before="156" w:beforeLines="50" w:line="240" w:lineRule="auto"/>
        <w:jc w:val="center"/>
        <w:rPr>
          <w:rFonts w:hint="default" w:ascii="Times New Roman" w:hAnsi="Times New Roman" w:eastAsia="宋体" w:cs="Times New Roman"/>
          <w:b/>
          <w:bCs/>
          <w:color w:val="auto"/>
          <w:kern w:val="2"/>
          <w:lang w:val="zh-CN"/>
        </w:rPr>
      </w:pPr>
      <w:r>
        <w:rPr>
          <w:rFonts w:hint="default" w:ascii="Times New Roman" w:hAnsi="Times New Roman" w:eastAsia="宋体" w:cs="Times New Roman"/>
          <w:b/>
          <w:bCs/>
          <w:color w:val="auto"/>
          <w:kern w:val="2"/>
          <w:lang w:val="zh-CN"/>
        </w:rPr>
        <w:t>表</w:t>
      </w:r>
      <w:r>
        <w:rPr>
          <w:rFonts w:hint="default" w:ascii="Times New Roman" w:hAnsi="Times New Roman" w:eastAsia="宋体" w:cs="Times New Roman"/>
          <w:b/>
          <w:bCs/>
          <w:color w:val="auto"/>
          <w:kern w:val="2"/>
          <w:lang w:val="en-US" w:eastAsia="zh-CN"/>
        </w:rPr>
        <w:t>1.5-2</w:t>
      </w:r>
      <w:r>
        <w:rPr>
          <w:rFonts w:hint="default" w:ascii="Times New Roman" w:hAnsi="Times New Roman" w:eastAsia="宋体" w:cs="Times New Roman"/>
          <w:b/>
          <w:bCs/>
          <w:color w:val="auto"/>
          <w:kern w:val="2"/>
          <w:lang w:val="zh-CN"/>
        </w:rPr>
        <w:t xml:space="preserve">  地表水环境质量标准</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38"/>
        <w:gridCol w:w="1996"/>
        <w:gridCol w:w="1134"/>
        <w:gridCol w:w="1417"/>
        <w:gridCol w:w="341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序号</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污染物</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单位</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评价标准值</w:t>
            </w:r>
          </w:p>
        </w:tc>
        <w:tc>
          <w:tcPr>
            <w:tcW w:w="341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评价标准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pH</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无量纲</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6-9</w:t>
            </w:r>
          </w:p>
        </w:tc>
        <w:tc>
          <w:tcPr>
            <w:tcW w:w="3415"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《地表水环境质量标准》（GB3838-2002）</w:t>
            </w:r>
          </w:p>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Ⅲ类标准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0"/>
                <w:sz w:val="21"/>
                <w:szCs w:val="21"/>
              </w:rPr>
              <w:t>CODcr</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mg/L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40</w:t>
            </w:r>
          </w:p>
        </w:tc>
        <w:tc>
          <w:tcPr>
            <w:tcW w:w="3415"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BOD</w:t>
            </w:r>
            <w:r>
              <w:rPr>
                <w:rFonts w:hint="default" w:ascii="Times New Roman" w:hAnsi="Times New Roman" w:eastAsia="宋体" w:cs="Times New Roman"/>
                <w:color w:val="auto"/>
                <w:kern w:val="2"/>
                <w:sz w:val="21"/>
                <w:szCs w:val="21"/>
                <w:vertAlign w:val="subscript"/>
              </w:rPr>
              <w:t>5</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mg/L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10</w:t>
            </w:r>
          </w:p>
        </w:tc>
        <w:tc>
          <w:tcPr>
            <w:tcW w:w="3415"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氨氮</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mg/L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2.0</w:t>
            </w:r>
          </w:p>
        </w:tc>
        <w:tc>
          <w:tcPr>
            <w:tcW w:w="3415"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总磷</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mg/L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0.4</w:t>
            </w:r>
          </w:p>
        </w:tc>
        <w:tc>
          <w:tcPr>
            <w:tcW w:w="3415"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6</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石油类</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mg/L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1.0</w:t>
            </w:r>
          </w:p>
        </w:tc>
        <w:tc>
          <w:tcPr>
            <w:tcW w:w="3415"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7</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0"/>
                <w:sz w:val="21"/>
                <w:szCs w:val="21"/>
              </w:rPr>
              <w:t>高锰酸盐指数</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mg/L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10</w:t>
            </w:r>
          </w:p>
        </w:tc>
        <w:tc>
          <w:tcPr>
            <w:tcW w:w="3415"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8</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总氮</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mg/L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1.5</w:t>
            </w:r>
          </w:p>
        </w:tc>
        <w:tc>
          <w:tcPr>
            <w:tcW w:w="3415"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9</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溶解氧</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mg/L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2.0</w:t>
            </w:r>
          </w:p>
        </w:tc>
        <w:tc>
          <w:tcPr>
            <w:tcW w:w="3415"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挥发酚</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mg/L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0.1</w:t>
            </w:r>
          </w:p>
        </w:tc>
        <w:tc>
          <w:tcPr>
            <w:tcW w:w="3415"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11</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氟化物</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mg/L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1.5</w:t>
            </w:r>
          </w:p>
        </w:tc>
        <w:tc>
          <w:tcPr>
            <w:tcW w:w="3415"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硫酸盐</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mg/L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250</w:t>
            </w:r>
          </w:p>
        </w:tc>
        <w:tc>
          <w:tcPr>
            <w:tcW w:w="3415"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13</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氯化物</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mg/L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250</w:t>
            </w:r>
          </w:p>
        </w:tc>
        <w:tc>
          <w:tcPr>
            <w:tcW w:w="3415"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14</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粪大肠菌群</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个/L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40000</w:t>
            </w:r>
          </w:p>
        </w:tc>
        <w:tc>
          <w:tcPr>
            <w:tcW w:w="3415"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15</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动植物油</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mg/L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1.0</w:t>
            </w:r>
          </w:p>
        </w:tc>
        <w:tc>
          <w:tcPr>
            <w:tcW w:w="3415"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16</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rPr>
              <w:t>阴离子表面活性剂</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mg/L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0.3</w:t>
            </w:r>
          </w:p>
        </w:tc>
        <w:tc>
          <w:tcPr>
            <w:tcW w:w="3415"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17</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rPr>
            </w:pPr>
            <w:r>
              <w:rPr>
                <w:rFonts w:hint="default" w:ascii="Times New Roman" w:hAnsi="Times New Roman" w:eastAsia="宋体" w:cs="Times New Roman"/>
                <w:color w:val="auto"/>
                <w:kern w:val="0"/>
                <w:sz w:val="21"/>
              </w:rPr>
              <w:t>硫化物</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mg/L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1.0</w:t>
            </w:r>
          </w:p>
        </w:tc>
        <w:tc>
          <w:tcPr>
            <w:tcW w:w="3415"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67" w:hRule="atLeast"/>
          <w:jc w:val="center"/>
        </w:trPr>
        <w:tc>
          <w:tcPr>
            <w:tcW w:w="113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18</w:t>
            </w:r>
          </w:p>
        </w:tc>
        <w:tc>
          <w:tcPr>
            <w:tcW w:w="1996"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悬浮物</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mg/L</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overflowPunct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150</w:t>
            </w:r>
          </w:p>
        </w:tc>
        <w:tc>
          <w:tcPr>
            <w:tcW w:w="341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《地表水资源质量标准》(SL63-94)</w:t>
            </w:r>
          </w:p>
        </w:tc>
      </w:tr>
    </w:tbl>
    <w:p>
      <w:pPr>
        <w:keepNext w:val="0"/>
        <w:keepLines w:val="0"/>
        <w:widowControl/>
        <w:suppressLineNumbers w:val="0"/>
        <w:jc w:val="left"/>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24"/>
          <w:szCs w:val="24"/>
          <w:lang w:val="en-US" w:eastAsia="zh-CN" w:bidi="ar"/>
        </w:rPr>
        <w:t>1.5.1.3 地下水</w:t>
      </w:r>
    </w:p>
    <w:p>
      <w:pPr>
        <w:ind w:firstLine="480" w:firstLineChars="200"/>
        <w:rPr>
          <w:rFonts w:hint="default" w:ascii="Times New Roman" w:hAnsi="Times New Roman" w:eastAsia="宋体" w:cs="Times New Roman"/>
          <w:color w:val="auto"/>
          <w:kern w:val="2"/>
        </w:rPr>
      </w:pPr>
      <w:r>
        <w:rPr>
          <w:rFonts w:hint="default" w:ascii="Times New Roman" w:hAnsi="Times New Roman" w:eastAsia="宋体" w:cs="Times New Roman"/>
          <w:color w:val="auto"/>
          <w:kern w:val="2"/>
        </w:rPr>
        <w:t>地下水执行《地下水质量标准》（GB/T14848-2017）中的Ⅲ类标准，详见表</w:t>
      </w:r>
      <w:r>
        <w:rPr>
          <w:rFonts w:hint="default" w:ascii="Times New Roman" w:hAnsi="Times New Roman" w:eastAsia="宋体" w:cs="Times New Roman"/>
          <w:color w:val="auto"/>
          <w:kern w:val="2"/>
          <w:lang w:val="en-US" w:eastAsia="zh-CN"/>
        </w:rPr>
        <w:t>1.5-3</w:t>
      </w:r>
      <w:r>
        <w:rPr>
          <w:rFonts w:hint="default" w:ascii="Times New Roman" w:hAnsi="Times New Roman" w:eastAsia="宋体" w:cs="Times New Roman"/>
          <w:color w:val="auto"/>
          <w:kern w:val="2"/>
        </w:rPr>
        <w:t>。</w:t>
      </w:r>
    </w:p>
    <w:p>
      <w:pPr>
        <w:keepNext w:val="0"/>
        <w:keepLines w:val="0"/>
        <w:suppressLineNumbers w:val="0"/>
        <w:tabs>
          <w:tab w:val="left" w:pos="1260"/>
        </w:tabs>
        <w:spacing w:before="0" w:beforeAutospacing="0" w:after="0" w:afterAutospacing="0" w:line="360" w:lineRule="auto"/>
        <w:ind w:left="0" w:right="0"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 xml:space="preserve">1.5-3  </w:t>
      </w:r>
      <w:r>
        <w:rPr>
          <w:rFonts w:hint="default" w:ascii="Times New Roman" w:hAnsi="Times New Roman" w:eastAsia="宋体" w:cs="Times New Roman"/>
          <w:b/>
          <w:bCs/>
          <w:color w:val="auto"/>
          <w:sz w:val="24"/>
          <w:szCs w:val="24"/>
        </w:rPr>
        <w:t>地下水环境质量标准单位：mg/L</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167"/>
        <w:gridCol w:w="2418"/>
        <w:gridCol w:w="2645"/>
        <w:gridCol w:w="288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标准限值</w:t>
            </w:r>
          </w:p>
        </w:tc>
        <w:tc>
          <w:tcPr>
            <w:tcW w:w="288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标准限值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6.5-8.5（无量纲）</w:t>
            </w:r>
          </w:p>
        </w:tc>
        <w:tc>
          <w:tcPr>
            <w:tcW w:w="2886"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zh-CN"/>
              </w:rPr>
              <w:t>《地下水质量标准》（GB/T14848-2017）Ⅲ类标准</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耗氧量</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rPr>
              <w:t>硫酸盐</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硝酸盐</w:t>
            </w:r>
            <w:r>
              <w:rPr>
                <w:rFonts w:hint="default" w:ascii="Times New Roman" w:hAnsi="Times New Roman" w:eastAsia="宋体" w:cs="Times New Roman"/>
                <w:color w:val="auto"/>
                <w:sz w:val="22"/>
                <w:szCs w:val="22"/>
              </w:rPr>
              <w:t>氮</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亚硝酸盐</w:t>
            </w:r>
            <w:r>
              <w:rPr>
                <w:rFonts w:hint="default" w:ascii="Times New Roman" w:hAnsi="Times New Roman" w:eastAsia="宋体" w:cs="Times New Roman"/>
                <w:color w:val="auto"/>
                <w:sz w:val="22"/>
                <w:szCs w:val="22"/>
              </w:rPr>
              <w:t>氮</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总大肠菌群</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r>
              <w:rPr>
                <w:rFonts w:hint="default" w:ascii="Times New Roman" w:hAnsi="Times New Roman" w:eastAsia="宋体" w:cs="Times New Roman"/>
                <w:color w:val="auto"/>
              </w:rPr>
              <w:t xml:space="preserve"> </w:t>
            </w:r>
            <w:r>
              <w:rPr>
                <w:rFonts w:hint="default" w:ascii="Times New Roman" w:hAnsi="Times New Roman" w:eastAsia="宋体" w:cs="Times New Roman"/>
                <w:color w:val="auto"/>
                <w:sz w:val="21"/>
                <w:szCs w:val="21"/>
              </w:rPr>
              <w:t>MPN</w:t>
            </w:r>
            <w:r>
              <w:rPr>
                <w:rFonts w:hint="default" w:ascii="Times New Roman" w:hAnsi="Times New Roman" w:eastAsia="宋体" w:cs="Times New Roman"/>
                <w:color w:val="auto"/>
                <w:sz w:val="21"/>
                <w:szCs w:val="21"/>
                <w:vertAlign w:val="superscript"/>
              </w:rPr>
              <w:t>b</w:t>
            </w:r>
            <w:r>
              <w:rPr>
                <w:rFonts w:hint="default" w:ascii="Times New Roman" w:hAnsi="Times New Roman" w:eastAsia="宋体" w:cs="Times New Roman"/>
                <w:color w:val="auto"/>
                <w:sz w:val="21"/>
                <w:szCs w:val="21"/>
              </w:rPr>
              <w:t>/100mL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氯化物</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rPr>
              <w:t>汞</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六价铬</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砷</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铅</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锰</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0.10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镉</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0.005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菌落总数</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r>
              <w:rPr>
                <w:rFonts w:hint="default" w:ascii="Times New Roman" w:hAnsi="Times New Roman" w:eastAsia="宋体" w:cs="Times New Roman"/>
                <w:color w:val="auto"/>
              </w:rPr>
              <w:t xml:space="preserve"> </w:t>
            </w:r>
            <w:r>
              <w:rPr>
                <w:rFonts w:hint="default" w:ascii="Times New Roman" w:hAnsi="Times New Roman" w:eastAsia="宋体" w:cs="Times New Roman"/>
                <w:color w:val="auto"/>
                <w:sz w:val="21"/>
                <w:szCs w:val="21"/>
              </w:rPr>
              <w:t>CFU/mL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总硬度</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450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溶解性总固体</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挥发性酚类</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氰化物</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阴离子表面活性剂</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氟化物</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硫化物</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0.02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1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w:t>
            </w:r>
          </w:p>
        </w:tc>
        <w:tc>
          <w:tcPr>
            <w:tcW w:w="2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铁</w:t>
            </w:r>
          </w:p>
        </w:tc>
        <w:tc>
          <w:tcPr>
            <w:tcW w:w="26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 mg/L</w:t>
            </w:r>
          </w:p>
        </w:tc>
        <w:tc>
          <w:tcPr>
            <w:tcW w:w="288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z w:val="21"/>
                <w:szCs w:val="21"/>
              </w:rPr>
            </w:pPr>
          </w:p>
        </w:tc>
      </w:tr>
    </w:tbl>
    <w:p>
      <w:pPr>
        <w:bidi w:val="0"/>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1.5.1.4</w:t>
      </w:r>
      <w:r>
        <w:rPr>
          <w:rFonts w:hint="default" w:ascii="Times New Roman" w:hAnsi="Times New Roman" w:eastAsia="宋体" w:cs="Times New Roman"/>
          <w:b/>
          <w:bCs/>
          <w:color w:val="auto"/>
          <w:kern w:val="0"/>
          <w:sz w:val="24"/>
          <w:szCs w:val="24"/>
          <w:lang w:val="en-US" w:eastAsia="zh-CN" w:bidi="ar"/>
        </w:rPr>
        <w:t>声环境</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管线经过区域和站场执行《声环境质量标准》（GB3096-2008）2 类标准，经过交通干线两侧红线外 35m 距离以内，执行《声环境质量标准》4a 类标准，具体见表1.5-4。</w:t>
      </w:r>
    </w:p>
    <w:p>
      <w:pPr>
        <w:pStyle w:val="9"/>
        <w:keepNext/>
        <w:keepLines w:val="0"/>
        <w:suppressLineNumbers w:val="0"/>
        <w:spacing w:before="0" w:beforeAutospacing="0" w:after="0" w:afterAutospacing="0" w:line="360" w:lineRule="auto"/>
        <w:ind w:left="0" w:right="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1.5-4</w:t>
      </w:r>
      <w:r>
        <w:rPr>
          <w:rFonts w:hint="default" w:ascii="Times New Roman" w:hAnsi="Times New Roman" w:eastAsia="宋体" w:cs="Times New Roman"/>
          <w:b/>
          <w:bCs/>
          <w:color w:val="auto"/>
          <w:sz w:val="24"/>
          <w:szCs w:val="24"/>
        </w:rPr>
        <w:t xml:space="preserve">  声环境质量标准限值 单位：dB(A)</w:t>
      </w:r>
    </w:p>
    <w:tbl>
      <w:tblPr>
        <w:tblStyle w:val="24"/>
        <w:tblW w:w="8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11"/>
        <w:gridCol w:w="2914"/>
        <w:gridCol w:w="29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blHeader/>
          <w:jc w:val="center"/>
        </w:trPr>
        <w:tc>
          <w:tcPr>
            <w:tcW w:w="291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标准值</w:t>
            </w:r>
          </w:p>
        </w:tc>
        <w:tc>
          <w:tcPr>
            <w:tcW w:w="2914"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昼间</w:t>
            </w:r>
          </w:p>
        </w:tc>
        <w:tc>
          <w:tcPr>
            <w:tcW w:w="2914"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tblHeader/>
          <w:jc w:val="center"/>
        </w:trPr>
        <w:tc>
          <w:tcPr>
            <w:tcW w:w="2911" w:type="dxa"/>
            <w:noWrap w:val="0"/>
            <w:vAlign w:val="center"/>
          </w:tcPr>
          <w:p>
            <w:pPr>
              <w:pStyle w:val="52"/>
              <w:keepNext w:val="0"/>
              <w:keepLines w:val="0"/>
              <w:suppressLineNumbers w:val="0"/>
              <w:adjustRightInd/>
              <w:snapToGrid/>
              <w:spacing w:before="0" w:beforeAutospacing="0" w:after="0" w:afterAutospacing="0" w:line="240" w:lineRule="auto"/>
              <w:ind w:left="0" w:right="0"/>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lang w:val="en-US" w:eastAsia="zh-CN"/>
              </w:rPr>
              <w:t>2</w:t>
            </w:r>
            <w:r>
              <w:rPr>
                <w:rFonts w:hint="default" w:ascii="Times New Roman" w:hAnsi="Times New Roman" w:eastAsia="宋体" w:cs="Times New Roman"/>
                <w:b w:val="0"/>
                <w:bCs w:val="0"/>
                <w:color w:val="auto"/>
                <w:kern w:val="0"/>
                <w:sz w:val="21"/>
                <w:szCs w:val="21"/>
              </w:rPr>
              <w:t>类</w:t>
            </w:r>
          </w:p>
        </w:tc>
        <w:tc>
          <w:tcPr>
            <w:tcW w:w="2914"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val="0"/>
                <w:bCs w:val="0"/>
                <w:color w:val="auto"/>
                <w:kern w:val="0"/>
                <w:sz w:val="21"/>
                <w:szCs w:val="21"/>
              </w:rPr>
              <w:t>6</w:t>
            </w:r>
            <w:r>
              <w:rPr>
                <w:rFonts w:hint="default" w:ascii="Times New Roman" w:hAnsi="Times New Roman" w:eastAsia="宋体" w:cs="Times New Roman"/>
                <w:b w:val="0"/>
                <w:bCs w:val="0"/>
                <w:color w:val="auto"/>
                <w:kern w:val="0"/>
                <w:sz w:val="21"/>
                <w:szCs w:val="21"/>
                <w:lang w:val="en-US" w:eastAsia="zh-CN"/>
              </w:rPr>
              <w:t>0</w:t>
            </w:r>
          </w:p>
        </w:tc>
        <w:tc>
          <w:tcPr>
            <w:tcW w:w="2914"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val="0"/>
                <w:bCs w:val="0"/>
                <w:color w:val="auto"/>
                <w:kern w:val="0"/>
                <w:sz w:val="21"/>
                <w:szCs w:val="21"/>
              </w:rPr>
              <w:t>5</w:t>
            </w:r>
            <w:r>
              <w:rPr>
                <w:rFonts w:hint="default" w:ascii="Times New Roman" w:hAnsi="Times New Roman" w:eastAsia="宋体" w:cs="Times New Roman"/>
                <w:b w:val="0"/>
                <w:bCs w:val="0"/>
                <w:color w:val="auto"/>
                <w:kern w:val="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tblHeader/>
          <w:jc w:val="center"/>
        </w:trPr>
        <w:tc>
          <w:tcPr>
            <w:tcW w:w="2911" w:type="dxa"/>
            <w:noWrap w:val="0"/>
            <w:vAlign w:val="center"/>
          </w:tcPr>
          <w:p>
            <w:pPr>
              <w:pStyle w:val="52"/>
              <w:keepNext w:val="0"/>
              <w:keepLines w:val="0"/>
              <w:suppressLineNumbers w:val="0"/>
              <w:adjustRightInd/>
              <w:snapToGrid/>
              <w:spacing w:before="0" w:beforeAutospacing="0" w:after="0" w:afterAutospacing="0" w:line="240" w:lineRule="auto"/>
              <w:ind w:left="0" w:right="0"/>
              <w:textAlignment w:val="auto"/>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val="0"/>
                <w:bCs w:val="0"/>
                <w:color w:val="auto"/>
                <w:kern w:val="0"/>
                <w:sz w:val="21"/>
                <w:szCs w:val="21"/>
                <w:lang w:val="en-US" w:eastAsia="zh-CN"/>
              </w:rPr>
              <w:t>4a类</w:t>
            </w:r>
          </w:p>
        </w:tc>
        <w:tc>
          <w:tcPr>
            <w:tcW w:w="2914"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val="0"/>
                <w:bCs w:val="0"/>
                <w:color w:val="auto"/>
                <w:kern w:val="0"/>
                <w:sz w:val="21"/>
                <w:szCs w:val="21"/>
                <w:lang w:val="en-US" w:eastAsia="zh-CN"/>
              </w:rPr>
              <w:t>70</w:t>
            </w:r>
          </w:p>
        </w:tc>
        <w:tc>
          <w:tcPr>
            <w:tcW w:w="2914"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val="0"/>
                <w:bCs w:val="0"/>
                <w:color w:val="auto"/>
                <w:kern w:val="0"/>
                <w:sz w:val="21"/>
                <w:szCs w:val="21"/>
                <w:lang w:val="en-US" w:eastAsia="zh-CN"/>
              </w:rPr>
              <w:t>55</w:t>
            </w:r>
          </w:p>
        </w:tc>
      </w:tr>
    </w:tbl>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1.5.2排放标准</w:t>
      </w:r>
    </w:p>
    <w:p>
      <w:pPr>
        <w:bidi w:val="0"/>
        <w:spacing w:line="360" w:lineRule="auto"/>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1.5.2.1大气污染物排放标准</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color w:val="auto"/>
          <w:sz w:val="24"/>
          <w:szCs w:val="24"/>
          <w:lang w:eastAsia="zh-CN"/>
        </w:rPr>
        <w:t>施工期：</w:t>
      </w:r>
      <w:r>
        <w:rPr>
          <w:rFonts w:hint="default" w:ascii="Times New Roman" w:hAnsi="Times New Roman" w:eastAsia="宋体" w:cs="Times New Roman"/>
          <w:bCs/>
          <w:color w:val="auto"/>
          <w:sz w:val="24"/>
          <w:lang w:eastAsia="zh-CN"/>
        </w:rPr>
        <w:t>扬尘执行《四川省施工场地扬尘排放标准》（</w:t>
      </w:r>
      <w:r>
        <w:rPr>
          <w:rFonts w:hint="default" w:ascii="Times New Roman" w:hAnsi="Times New Roman" w:eastAsia="宋体" w:cs="Times New Roman"/>
          <w:bCs/>
          <w:color w:val="auto"/>
          <w:sz w:val="24"/>
          <w:lang w:val="en-US" w:eastAsia="zh-CN"/>
        </w:rPr>
        <w:t>DB51/2682-2020</w:t>
      </w:r>
      <w:r>
        <w:rPr>
          <w:rFonts w:hint="default" w:ascii="Times New Roman" w:hAnsi="Times New Roman" w:eastAsia="宋体" w:cs="Times New Roman"/>
          <w:bCs/>
          <w:color w:val="auto"/>
          <w:sz w:val="24"/>
          <w:lang w:eastAsia="zh-CN"/>
        </w:rPr>
        <w:t>），所属区域为广元市。见表</w:t>
      </w:r>
      <w:r>
        <w:rPr>
          <w:rFonts w:hint="default" w:ascii="Times New Roman" w:hAnsi="Times New Roman" w:eastAsia="宋体" w:cs="Times New Roman"/>
          <w:bCs/>
          <w:color w:val="auto"/>
          <w:sz w:val="24"/>
          <w:lang w:val="en-US" w:eastAsia="zh-CN"/>
        </w:rPr>
        <w:t>1.5-5。</w:t>
      </w:r>
    </w:p>
    <w:p>
      <w:pPr>
        <w:pStyle w:val="2"/>
        <w:keepNext w:val="0"/>
        <w:keepLines w:val="0"/>
        <w:pageBreakBefore w:val="0"/>
        <w:widowControl w:val="0"/>
        <w:kinsoku/>
        <w:wordWrap/>
        <w:overflowPunct/>
        <w:topLinePunct w:val="0"/>
        <w:autoSpaceDE/>
        <w:autoSpaceDN/>
        <w:bidi w:val="0"/>
        <w:adjustRightInd/>
        <w:snapToGrid/>
        <w:ind w:firstLine="482" w:firstLineChars="200"/>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eastAsia="zh-CN"/>
        </w:rPr>
        <w:t>表</w:t>
      </w:r>
      <w:r>
        <w:rPr>
          <w:rFonts w:hint="default" w:ascii="Times New Roman" w:hAnsi="Times New Roman" w:eastAsia="宋体" w:cs="Times New Roman"/>
          <w:b/>
          <w:bCs/>
          <w:color w:val="auto"/>
          <w:lang w:val="en-US" w:eastAsia="zh-CN"/>
        </w:rPr>
        <w:t>1.5-5  《四川省施工场地扬尘排放标准》（DB51/2682-2020）</w:t>
      </w:r>
    </w:p>
    <w:tbl>
      <w:tblPr>
        <w:tblStyle w:val="24"/>
        <w:tblW w:w="48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3"/>
        <w:gridCol w:w="3557"/>
        <w:gridCol w:w="1438"/>
        <w:gridCol w:w="1391"/>
        <w:gridCol w:w="1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 w:type="pct"/>
            <w:noWrap w:val="0"/>
            <w:vAlign w:val="center"/>
          </w:tcPr>
          <w:p>
            <w:pPr>
              <w:pStyle w:val="75"/>
              <w:keepNext w:val="0"/>
              <w:keepLines w:val="0"/>
              <w:pageBreakBefore w:val="0"/>
              <w:widowControl w:val="0"/>
              <w:kinsoku/>
              <w:wordWrap/>
              <w:overflowPunct/>
              <w:topLinePunct w:val="0"/>
              <w:autoSpaceDE/>
              <w:autoSpaceDN/>
              <w:bidi w:val="0"/>
              <w:adjustRightInd w:val="0"/>
              <w:snapToGrid/>
              <w:spacing w:line="360" w:lineRule="exact"/>
              <w:ind w:left="0" w:right="0"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监测项目</w:t>
            </w:r>
          </w:p>
        </w:tc>
        <w:tc>
          <w:tcPr>
            <w:tcW w:w="1998" w:type="pct"/>
            <w:noWrap w:val="0"/>
            <w:vAlign w:val="center"/>
          </w:tcPr>
          <w:p>
            <w:pPr>
              <w:pStyle w:val="75"/>
              <w:keepNext w:val="0"/>
              <w:keepLines w:val="0"/>
              <w:pageBreakBefore w:val="0"/>
              <w:widowControl w:val="0"/>
              <w:kinsoku/>
              <w:wordWrap/>
              <w:overflowPunct/>
              <w:topLinePunct w:val="0"/>
              <w:autoSpaceDE/>
              <w:autoSpaceDN/>
              <w:bidi w:val="0"/>
              <w:adjustRightInd w:val="0"/>
              <w:snapToGrid/>
              <w:spacing w:line="360" w:lineRule="exact"/>
              <w:ind w:left="0" w:right="0"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区域</w:t>
            </w:r>
          </w:p>
        </w:tc>
        <w:tc>
          <w:tcPr>
            <w:tcW w:w="808" w:type="pct"/>
            <w:noWrap w:val="0"/>
            <w:vAlign w:val="center"/>
          </w:tcPr>
          <w:p>
            <w:pPr>
              <w:pStyle w:val="75"/>
              <w:keepNext w:val="0"/>
              <w:keepLines w:val="0"/>
              <w:pageBreakBefore w:val="0"/>
              <w:widowControl w:val="0"/>
              <w:kinsoku/>
              <w:wordWrap/>
              <w:overflowPunct/>
              <w:topLinePunct w:val="0"/>
              <w:autoSpaceDE/>
              <w:autoSpaceDN/>
              <w:bidi w:val="0"/>
              <w:adjustRightInd w:val="0"/>
              <w:snapToGrid/>
              <w:spacing w:line="360" w:lineRule="exact"/>
              <w:ind w:left="0" w:right="0"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施工阶段</w:t>
            </w:r>
          </w:p>
        </w:tc>
        <w:tc>
          <w:tcPr>
            <w:tcW w:w="781" w:type="pct"/>
            <w:noWrap w:val="0"/>
            <w:vAlign w:val="center"/>
          </w:tcPr>
          <w:p>
            <w:pPr>
              <w:pStyle w:val="75"/>
              <w:keepNext w:val="0"/>
              <w:keepLines w:val="0"/>
              <w:pageBreakBefore w:val="0"/>
              <w:widowControl w:val="0"/>
              <w:kinsoku/>
              <w:wordWrap/>
              <w:overflowPunct/>
              <w:topLinePunct w:val="0"/>
              <w:autoSpaceDE/>
              <w:autoSpaceDN/>
              <w:bidi w:val="0"/>
              <w:adjustRightInd w:val="0"/>
              <w:snapToGrid/>
              <w:spacing w:line="360" w:lineRule="exact"/>
              <w:ind w:left="0" w:right="0"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监测点排放限值（μɡ/m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w:t>
            </w:r>
          </w:p>
        </w:tc>
        <w:tc>
          <w:tcPr>
            <w:tcW w:w="662" w:type="pct"/>
            <w:noWrap w:val="0"/>
            <w:vAlign w:val="center"/>
          </w:tcPr>
          <w:p>
            <w:pPr>
              <w:pStyle w:val="75"/>
              <w:keepNext w:val="0"/>
              <w:keepLines w:val="0"/>
              <w:pageBreakBefore w:val="0"/>
              <w:widowControl w:val="0"/>
              <w:kinsoku/>
              <w:wordWrap/>
              <w:overflowPunct/>
              <w:topLinePunct w:val="0"/>
              <w:autoSpaceDE/>
              <w:autoSpaceDN/>
              <w:bidi w:val="0"/>
              <w:adjustRightInd w:val="0"/>
              <w:snapToGrid/>
              <w:spacing w:line="360" w:lineRule="exact"/>
              <w:ind w:left="0" w:right="0"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 w:type="pct"/>
            <w:vMerge w:val="restart"/>
            <w:noWrap w:val="0"/>
            <w:vAlign w:val="center"/>
          </w:tcPr>
          <w:p>
            <w:pPr>
              <w:pStyle w:val="75"/>
              <w:keepNext w:val="0"/>
              <w:keepLines w:val="0"/>
              <w:pageBreakBefore w:val="0"/>
              <w:widowControl w:val="0"/>
              <w:kinsoku/>
              <w:wordWrap/>
              <w:overflowPunct/>
              <w:topLinePunct w:val="0"/>
              <w:autoSpaceDE/>
              <w:autoSpaceDN/>
              <w:bidi w:val="0"/>
              <w:adjustRightInd w:val="0"/>
              <w:snapToGrid/>
              <w:spacing w:line="360" w:lineRule="exact"/>
              <w:ind w:left="0" w:right="0" w:firstLine="0" w:firstLineChars="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总悬浮颗粒物（TSP）</w:t>
            </w:r>
          </w:p>
        </w:tc>
        <w:tc>
          <w:tcPr>
            <w:tcW w:w="1998" w:type="pct"/>
            <w:vMerge w:val="restart"/>
            <w:noWrap w:val="0"/>
            <w:vAlign w:val="center"/>
          </w:tcPr>
          <w:p>
            <w:pPr>
              <w:pStyle w:val="75"/>
              <w:keepNext w:val="0"/>
              <w:keepLines w:val="0"/>
              <w:pageBreakBefore w:val="0"/>
              <w:widowControl w:val="0"/>
              <w:kinsoku/>
              <w:wordWrap/>
              <w:overflowPunct/>
              <w:topLinePunct w:val="0"/>
              <w:autoSpaceDE/>
              <w:autoSpaceDN/>
              <w:bidi w:val="0"/>
              <w:adjustRightInd w:val="0"/>
              <w:snapToGrid/>
              <w:spacing w:line="360" w:lineRule="exact"/>
              <w:ind w:left="0" w:right="0" w:firstLine="0" w:firstLineChars="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成都市、</w:t>
            </w:r>
            <w:r>
              <w:rPr>
                <w:rFonts w:hint="default" w:ascii="Times New Roman" w:hAnsi="Times New Roman" w:eastAsia="宋体" w:cs="Times New Roman"/>
                <w:b w:val="0"/>
                <w:bCs/>
                <w:color w:val="auto"/>
                <w:sz w:val="21"/>
                <w:szCs w:val="21"/>
              </w:rPr>
              <w:t>自贡市</w:t>
            </w:r>
            <w:r>
              <w:rPr>
                <w:rFonts w:hint="default" w:ascii="Times New Roman" w:hAnsi="Times New Roman" w:eastAsia="宋体" w:cs="Times New Roman"/>
                <w:bCs/>
                <w:color w:val="auto"/>
                <w:sz w:val="21"/>
                <w:szCs w:val="21"/>
              </w:rPr>
              <w:t>、泸州市、德阳市、绵阳市、</w:t>
            </w:r>
            <w:r>
              <w:rPr>
                <w:rFonts w:hint="default" w:ascii="Times New Roman" w:hAnsi="Times New Roman" w:eastAsia="宋体" w:cs="Times New Roman"/>
                <w:b/>
                <w:bCs w:val="0"/>
                <w:color w:val="auto"/>
                <w:sz w:val="21"/>
                <w:szCs w:val="21"/>
              </w:rPr>
              <w:t>广元市</w:t>
            </w:r>
            <w:r>
              <w:rPr>
                <w:rFonts w:hint="default" w:ascii="Times New Roman" w:hAnsi="Times New Roman" w:eastAsia="宋体" w:cs="Times New Roman"/>
                <w:bCs/>
                <w:color w:val="auto"/>
                <w:sz w:val="21"/>
                <w:szCs w:val="21"/>
              </w:rPr>
              <w:t>、遂宁市、内江市、乐山市、南充市、宜宾市、广安市、达州市、巴中市、雅安市、眉山市、</w:t>
            </w:r>
            <w:r>
              <w:rPr>
                <w:rFonts w:hint="default" w:ascii="Times New Roman" w:hAnsi="Times New Roman" w:eastAsia="宋体" w:cs="Times New Roman"/>
                <w:b w:val="0"/>
                <w:bCs/>
                <w:color w:val="auto"/>
                <w:sz w:val="21"/>
                <w:szCs w:val="21"/>
              </w:rPr>
              <w:t>资阳市</w:t>
            </w:r>
          </w:p>
        </w:tc>
        <w:tc>
          <w:tcPr>
            <w:tcW w:w="808" w:type="pct"/>
            <w:noWrap w:val="0"/>
            <w:vAlign w:val="center"/>
          </w:tcPr>
          <w:p>
            <w:pPr>
              <w:pStyle w:val="75"/>
              <w:keepNext w:val="0"/>
              <w:keepLines w:val="0"/>
              <w:pageBreakBefore w:val="0"/>
              <w:widowControl w:val="0"/>
              <w:kinsoku/>
              <w:wordWrap/>
              <w:overflowPunct/>
              <w:topLinePunct w:val="0"/>
              <w:autoSpaceDE/>
              <w:autoSpaceDN/>
              <w:bidi w:val="0"/>
              <w:adjustRightInd w:val="0"/>
              <w:snapToGrid/>
              <w:spacing w:line="360" w:lineRule="exact"/>
              <w:ind w:left="0" w:right="0" w:firstLine="0" w:firstLineChars="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拆除工程/土方开挖/土方回填阶段</w:t>
            </w:r>
          </w:p>
        </w:tc>
        <w:tc>
          <w:tcPr>
            <w:tcW w:w="781" w:type="pct"/>
            <w:noWrap w:val="0"/>
            <w:vAlign w:val="center"/>
          </w:tcPr>
          <w:p>
            <w:pPr>
              <w:pStyle w:val="75"/>
              <w:keepNext w:val="0"/>
              <w:keepLines w:val="0"/>
              <w:pageBreakBefore w:val="0"/>
              <w:widowControl w:val="0"/>
              <w:kinsoku/>
              <w:wordWrap/>
              <w:overflowPunct/>
              <w:topLinePunct w:val="0"/>
              <w:autoSpaceDE/>
              <w:autoSpaceDN/>
              <w:bidi w:val="0"/>
              <w:adjustRightInd w:val="0"/>
              <w:snapToGrid/>
              <w:spacing w:line="360" w:lineRule="exact"/>
              <w:ind w:left="0" w:right="0" w:firstLine="0" w:firstLineChars="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600</w:t>
            </w:r>
          </w:p>
        </w:tc>
        <w:tc>
          <w:tcPr>
            <w:tcW w:w="662" w:type="pct"/>
            <w:vMerge w:val="restart"/>
            <w:noWrap w:val="0"/>
            <w:vAlign w:val="center"/>
          </w:tcPr>
          <w:p>
            <w:pPr>
              <w:pStyle w:val="75"/>
              <w:keepNext w:val="0"/>
              <w:keepLines w:val="0"/>
              <w:pageBreakBefore w:val="0"/>
              <w:widowControl w:val="0"/>
              <w:kinsoku/>
              <w:wordWrap/>
              <w:overflowPunct/>
              <w:topLinePunct w:val="0"/>
              <w:autoSpaceDE/>
              <w:autoSpaceDN/>
              <w:bidi w:val="0"/>
              <w:adjustRightInd w:val="0"/>
              <w:snapToGrid/>
              <w:spacing w:line="360" w:lineRule="exact"/>
              <w:ind w:left="0" w:right="0" w:firstLine="0" w:firstLineChars="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自监测起持续15分钟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 w:type="pct"/>
            <w:vMerge w:val="continue"/>
            <w:noWrap w:val="0"/>
            <w:vAlign w:val="center"/>
          </w:tcPr>
          <w:p>
            <w:pPr>
              <w:pStyle w:val="75"/>
              <w:keepNext w:val="0"/>
              <w:keepLines w:val="0"/>
              <w:pageBreakBefore w:val="0"/>
              <w:widowControl w:val="0"/>
              <w:kinsoku/>
              <w:wordWrap/>
              <w:overflowPunct/>
              <w:topLinePunct w:val="0"/>
              <w:autoSpaceDE/>
              <w:autoSpaceDN/>
              <w:bidi w:val="0"/>
              <w:adjustRightInd w:val="0"/>
              <w:snapToGrid/>
              <w:spacing w:line="360" w:lineRule="exact"/>
              <w:ind w:left="0" w:right="0" w:firstLine="0" w:firstLineChars="0"/>
              <w:jc w:val="center"/>
              <w:textAlignment w:val="baseline"/>
              <w:rPr>
                <w:rFonts w:hint="default" w:ascii="Times New Roman" w:hAnsi="Times New Roman" w:eastAsia="宋体" w:cs="Times New Roman"/>
                <w:bCs/>
                <w:color w:val="auto"/>
                <w:sz w:val="21"/>
                <w:szCs w:val="21"/>
              </w:rPr>
            </w:pPr>
          </w:p>
        </w:tc>
        <w:tc>
          <w:tcPr>
            <w:tcW w:w="1998" w:type="pct"/>
            <w:vMerge w:val="continue"/>
            <w:noWrap w:val="0"/>
            <w:vAlign w:val="center"/>
          </w:tcPr>
          <w:p>
            <w:pPr>
              <w:pStyle w:val="75"/>
              <w:keepNext w:val="0"/>
              <w:keepLines w:val="0"/>
              <w:pageBreakBefore w:val="0"/>
              <w:widowControl w:val="0"/>
              <w:kinsoku/>
              <w:wordWrap/>
              <w:overflowPunct/>
              <w:topLinePunct w:val="0"/>
              <w:autoSpaceDE/>
              <w:autoSpaceDN/>
              <w:bidi w:val="0"/>
              <w:adjustRightInd w:val="0"/>
              <w:snapToGrid/>
              <w:spacing w:line="360" w:lineRule="exact"/>
              <w:ind w:left="0" w:right="0" w:firstLine="0" w:firstLineChars="0"/>
              <w:jc w:val="center"/>
              <w:textAlignment w:val="baseline"/>
              <w:rPr>
                <w:rFonts w:hint="default" w:ascii="Times New Roman" w:hAnsi="Times New Roman" w:eastAsia="宋体" w:cs="Times New Roman"/>
                <w:bCs/>
                <w:color w:val="auto"/>
                <w:sz w:val="21"/>
                <w:szCs w:val="21"/>
              </w:rPr>
            </w:pPr>
          </w:p>
        </w:tc>
        <w:tc>
          <w:tcPr>
            <w:tcW w:w="808" w:type="pct"/>
            <w:noWrap w:val="0"/>
            <w:vAlign w:val="center"/>
          </w:tcPr>
          <w:p>
            <w:pPr>
              <w:pStyle w:val="75"/>
              <w:keepNext w:val="0"/>
              <w:keepLines w:val="0"/>
              <w:pageBreakBefore w:val="0"/>
              <w:widowControl w:val="0"/>
              <w:kinsoku/>
              <w:wordWrap/>
              <w:overflowPunct/>
              <w:topLinePunct w:val="0"/>
              <w:autoSpaceDE/>
              <w:autoSpaceDN/>
              <w:bidi w:val="0"/>
              <w:adjustRightInd w:val="0"/>
              <w:snapToGrid/>
              <w:spacing w:line="360" w:lineRule="exact"/>
              <w:ind w:left="0" w:right="0" w:firstLine="0" w:firstLineChars="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其他工程阶段</w:t>
            </w:r>
          </w:p>
        </w:tc>
        <w:tc>
          <w:tcPr>
            <w:tcW w:w="781" w:type="pct"/>
            <w:noWrap w:val="0"/>
            <w:vAlign w:val="center"/>
          </w:tcPr>
          <w:p>
            <w:pPr>
              <w:pStyle w:val="75"/>
              <w:keepNext w:val="0"/>
              <w:keepLines w:val="0"/>
              <w:pageBreakBefore w:val="0"/>
              <w:widowControl w:val="0"/>
              <w:kinsoku/>
              <w:wordWrap/>
              <w:overflowPunct/>
              <w:topLinePunct w:val="0"/>
              <w:autoSpaceDE/>
              <w:autoSpaceDN/>
              <w:bidi w:val="0"/>
              <w:adjustRightInd w:val="0"/>
              <w:snapToGrid/>
              <w:spacing w:line="360" w:lineRule="exact"/>
              <w:ind w:left="0" w:right="0" w:firstLine="0" w:firstLineChars="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250</w:t>
            </w:r>
          </w:p>
        </w:tc>
        <w:tc>
          <w:tcPr>
            <w:tcW w:w="662" w:type="pct"/>
            <w:vMerge w:val="continue"/>
            <w:noWrap w:val="0"/>
            <w:vAlign w:val="center"/>
          </w:tcPr>
          <w:p>
            <w:pPr>
              <w:pStyle w:val="75"/>
              <w:keepNext w:val="0"/>
              <w:keepLines w:val="0"/>
              <w:pageBreakBefore w:val="0"/>
              <w:widowControl w:val="0"/>
              <w:kinsoku/>
              <w:wordWrap/>
              <w:overflowPunct/>
              <w:topLinePunct w:val="0"/>
              <w:autoSpaceDE/>
              <w:autoSpaceDN/>
              <w:bidi w:val="0"/>
              <w:adjustRightInd w:val="0"/>
              <w:snapToGrid/>
              <w:spacing w:line="360" w:lineRule="exact"/>
              <w:ind w:left="0" w:right="0" w:firstLine="0" w:firstLineChars="0"/>
              <w:jc w:val="center"/>
              <w:textAlignment w:val="baseline"/>
              <w:rPr>
                <w:rFonts w:hint="default" w:ascii="Times New Roman" w:hAnsi="Times New Roman" w:eastAsia="宋体" w:cs="Times New Roman"/>
                <w:b/>
                <w:bCs/>
                <w:color w:val="auto"/>
                <w:sz w:val="21"/>
                <w:szCs w:val="21"/>
              </w:rPr>
            </w:pPr>
          </w:p>
        </w:tc>
      </w:tr>
    </w:tbl>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sz w:val="24"/>
          <w:szCs w:val="24"/>
        </w:rPr>
        <w:t>营运期：</w:t>
      </w:r>
      <w:r>
        <w:rPr>
          <w:rFonts w:hint="default" w:ascii="Times New Roman" w:hAnsi="Times New Roman" w:eastAsia="宋体" w:cs="Times New Roman"/>
          <w:color w:val="auto"/>
          <w:kern w:val="0"/>
          <w:sz w:val="24"/>
          <w:szCs w:val="24"/>
          <w:lang w:val="en-US" w:eastAsia="zh-CN" w:bidi="ar"/>
        </w:rPr>
        <w:t>运行期废气污染物排放执行《大气污染物综合排放标准》(GB16297-1996)中的二级标准，非甲烷总烃执行无组织排放浓度监控浓度限值，详见下表。</w:t>
      </w:r>
    </w:p>
    <w:p>
      <w:pPr>
        <w:pStyle w:val="2"/>
        <w:keepNext w:val="0"/>
        <w:keepLines w:val="0"/>
        <w:pageBreakBefore w:val="0"/>
        <w:widowControl w:val="0"/>
        <w:kinsoku/>
        <w:wordWrap/>
        <w:overflowPunct/>
        <w:topLinePunct w:val="0"/>
        <w:autoSpaceDE/>
        <w:autoSpaceDN/>
        <w:bidi w:val="0"/>
        <w:adjustRightInd/>
        <w:snapToGrid/>
        <w:ind w:firstLine="482" w:firstLineChars="200"/>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eastAsia="zh-CN"/>
        </w:rPr>
        <w:t>表</w:t>
      </w:r>
      <w:r>
        <w:rPr>
          <w:rFonts w:hint="default" w:ascii="Times New Roman" w:hAnsi="Times New Roman" w:eastAsia="宋体" w:cs="Times New Roman"/>
          <w:b/>
          <w:bCs/>
          <w:color w:val="auto"/>
          <w:lang w:val="en-US" w:eastAsia="zh-CN"/>
        </w:rPr>
        <w:t>1.5-6  大气污染物排放标准（mg/m</w:t>
      </w:r>
      <w:r>
        <w:rPr>
          <w:rFonts w:hint="default" w:ascii="Times New Roman" w:hAnsi="Times New Roman" w:eastAsia="宋体" w:cs="Times New Roman"/>
          <w:b/>
          <w:bCs/>
          <w:color w:val="auto"/>
          <w:vertAlign w:val="superscript"/>
          <w:lang w:val="en-US" w:eastAsia="zh-CN"/>
        </w:rPr>
        <w:t>3</w:t>
      </w:r>
      <w:r>
        <w:rPr>
          <w:rFonts w:hint="default" w:ascii="Times New Roman" w:hAnsi="Times New Roman" w:eastAsia="宋体" w:cs="Times New Roman"/>
          <w:b/>
          <w:bCs/>
          <w:color w:val="auto"/>
          <w:lang w:val="en-US" w:eastAsia="zh-CN"/>
        </w:rPr>
        <w:t>）</w:t>
      </w:r>
    </w:p>
    <w:tbl>
      <w:tblPr>
        <w:tblStyle w:val="24"/>
        <w:tblW w:w="4998" w:type="pct"/>
        <w:jc w:val="center"/>
        <w:shd w:val="clear" w:color="auto" w:fill="auto"/>
        <w:tblLayout w:type="autofit"/>
        <w:tblCellMar>
          <w:top w:w="0" w:type="dxa"/>
          <w:left w:w="108" w:type="dxa"/>
          <w:bottom w:w="0" w:type="dxa"/>
          <w:right w:w="108" w:type="dxa"/>
        </w:tblCellMar>
      </w:tblPr>
      <w:tblGrid>
        <w:gridCol w:w="1662"/>
        <w:gridCol w:w="2726"/>
        <w:gridCol w:w="3118"/>
        <w:gridCol w:w="1664"/>
      </w:tblGrid>
      <w:tr>
        <w:tblPrEx>
          <w:shd w:val="clear" w:color="auto" w:fill="auto"/>
          <w:tblCellMar>
            <w:top w:w="0" w:type="dxa"/>
            <w:left w:w="108" w:type="dxa"/>
            <w:bottom w:w="0" w:type="dxa"/>
            <w:right w:w="108" w:type="dxa"/>
          </w:tblCellMar>
        </w:tblPrEx>
        <w:trPr>
          <w:trHeight w:val="270" w:hRule="atLeast"/>
          <w:jc w:val="center"/>
        </w:trPr>
        <w:tc>
          <w:tcPr>
            <w:tcW w:w="90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污染物</w:t>
            </w:r>
          </w:p>
        </w:tc>
        <w:tc>
          <w:tcPr>
            <w:tcW w:w="148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最高允许排放浓度</w:t>
            </w:r>
          </w:p>
        </w:tc>
        <w:tc>
          <w:tcPr>
            <w:tcW w:w="260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无组织排放监控浓度限值</w:t>
            </w:r>
          </w:p>
        </w:tc>
      </w:tr>
      <w:tr>
        <w:tblPrEx>
          <w:shd w:val="clear" w:color="auto" w:fill="auto"/>
          <w:tblCellMar>
            <w:top w:w="0" w:type="dxa"/>
            <w:left w:w="108" w:type="dxa"/>
            <w:bottom w:w="0" w:type="dxa"/>
            <w:right w:w="108" w:type="dxa"/>
          </w:tblCellMar>
        </w:tblPrEx>
        <w:trPr>
          <w:trHeight w:val="270" w:hRule="atLeast"/>
          <w:jc w:val="center"/>
        </w:trPr>
        <w:tc>
          <w:tcPr>
            <w:tcW w:w="90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宋体" w:cs="Times New Roman"/>
                <w:i w:val="0"/>
                <w:iCs w:val="0"/>
                <w:color w:val="auto"/>
                <w:sz w:val="21"/>
                <w:szCs w:val="21"/>
                <w:u w:val="none"/>
              </w:rPr>
            </w:pPr>
          </w:p>
        </w:tc>
        <w:tc>
          <w:tcPr>
            <w:tcW w:w="14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宋体" w:cs="Times New Roman"/>
                <w:i w:val="0"/>
                <w:iCs w:val="0"/>
                <w:color w:val="auto"/>
                <w:sz w:val="21"/>
                <w:szCs w:val="21"/>
                <w:u w:val="none"/>
              </w:rPr>
            </w:pPr>
          </w:p>
        </w:tc>
        <w:tc>
          <w:tcPr>
            <w:tcW w:w="1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监控点</w:t>
            </w:r>
          </w:p>
        </w:tc>
        <w:tc>
          <w:tcPr>
            <w:tcW w:w="9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浓度</w:t>
            </w:r>
          </w:p>
        </w:tc>
      </w:tr>
      <w:tr>
        <w:tblPrEx>
          <w:tblCellMar>
            <w:top w:w="0" w:type="dxa"/>
            <w:left w:w="108" w:type="dxa"/>
            <w:bottom w:w="0" w:type="dxa"/>
            <w:right w:w="108" w:type="dxa"/>
          </w:tblCellMar>
        </w:tblPrEx>
        <w:trPr>
          <w:trHeight w:val="270" w:hRule="atLeast"/>
          <w:jc w:val="center"/>
        </w:trPr>
        <w:tc>
          <w:tcPr>
            <w:tcW w:w="9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148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120</w:t>
            </w:r>
          </w:p>
        </w:tc>
        <w:tc>
          <w:tcPr>
            <w:tcW w:w="170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周界外浓度最高点</w:t>
            </w:r>
          </w:p>
        </w:tc>
        <w:tc>
          <w:tcPr>
            <w:tcW w:w="9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r>
      <w:tr>
        <w:tblPrEx>
          <w:shd w:val="clear" w:color="auto" w:fill="auto"/>
          <w:tblCellMar>
            <w:top w:w="0" w:type="dxa"/>
            <w:left w:w="108" w:type="dxa"/>
            <w:bottom w:w="0" w:type="dxa"/>
            <w:right w:w="108" w:type="dxa"/>
          </w:tblCellMar>
        </w:tblPrEx>
        <w:trPr>
          <w:trHeight w:val="270" w:hRule="atLeast"/>
          <w:jc w:val="center"/>
        </w:trPr>
        <w:tc>
          <w:tcPr>
            <w:tcW w:w="9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氮氧化物</w:t>
            </w:r>
          </w:p>
        </w:tc>
        <w:tc>
          <w:tcPr>
            <w:tcW w:w="148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240</w:t>
            </w:r>
          </w:p>
        </w:tc>
        <w:tc>
          <w:tcPr>
            <w:tcW w:w="17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宋体" w:cs="Times New Roman"/>
                <w:i w:val="0"/>
                <w:iCs w:val="0"/>
                <w:color w:val="auto"/>
                <w:sz w:val="21"/>
                <w:szCs w:val="21"/>
                <w:u w:val="none"/>
              </w:rPr>
            </w:pPr>
          </w:p>
        </w:tc>
        <w:tc>
          <w:tcPr>
            <w:tcW w:w="9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0.12</w:t>
            </w:r>
          </w:p>
        </w:tc>
      </w:tr>
      <w:tr>
        <w:tblPrEx>
          <w:shd w:val="clear" w:color="auto" w:fill="auto"/>
          <w:tblCellMar>
            <w:top w:w="0" w:type="dxa"/>
            <w:left w:w="108" w:type="dxa"/>
            <w:bottom w:w="0" w:type="dxa"/>
            <w:right w:w="108" w:type="dxa"/>
          </w:tblCellMar>
        </w:tblPrEx>
        <w:trPr>
          <w:trHeight w:val="270" w:hRule="atLeast"/>
          <w:jc w:val="center"/>
        </w:trPr>
        <w:tc>
          <w:tcPr>
            <w:tcW w:w="9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二氧化硫</w:t>
            </w:r>
          </w:p>
        </w:tc>
        <w:tc>
          <w:tcPr>
            <w:tcW w:w="148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550</w:t>
            </w:r>
          </w:p>
        </w:tc>
        <w:tc>
          <w:tcPr>
            <w:tcW w:w="17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宋体" w:cs="Times New Roman"/>
                <w:i w:val="0"/>
                <w:iCs w:val="0"/>
                <w:color w:val="auto"/>
                <w:sz w:val="21"/>
                <w:szCs w:val="21"/>
                <w:u w:val="none"/>
              </w:rPr>
            </w:pPr>
          </w:p>
        </w:tc>
        <w:tc>
          <w:tcPr>
            <w:tcW w:w="9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w:t>
            </w:r>
          </w:p>
        </w:tc>
      </w:tr>
      <w:tr>
        <w:tblPrEx>
          <w:shd w:val="clear" w:color="auto" w:fill="auto"/>
          <w:tblCellMar>
            <w:top w:w="0" w:type="dxa"/>
            <w:left w:w="108" w:type="dxa"/>
            <w:bottom w:w="0" w:type="dxa"/>
            <w:right w:w="108" w:type="dxa"/>
          </w:tblCellMar>
        </w:tblPrEx>
        <w:trPr>
          <w:trHeight w:val="540" w:hRule="atLeast"/>
          <w:jc w:val="center"/>
        </w:trPr>
        <w:tc>
          <w:tcPr>
            <w:tcW w:w="9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148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120</w:t>
            </w:r>
          </w:p>
        </w:tc>
        <w:tc>
          <w:tcPr>
            <w:tcW w:w="17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宋体" w:cs="Times New Roman"/>
                <w:i w:val="0"/>
                <w:iCs w:val="0"/>
                <w:color w:val="auto"/>
                <w:sz w:val="21"/>
                <w:szCs w:val="21"/>
                <w:u w:val="none"/>
              </w:rPr>
            </w:pPr>
          </w:p>
        </w:tc>
        <w:tc>
          <w:tcPr>
            <w:tcW w:w="9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4.0</w:t>
            </w:r>
          </w:p>
        </w:tc>
      </w:tr>
    </w:tbl>
    <w:p>
      <w:pPr>
        <w:bidi w:val="0"/>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1.5.2.2</w:t>
      </w:r>
      <w:r>
        <w:rPr>
          <w:rFonts w:hint="default" w:ascii="Times New Roman" w:hAnsi="Times New Roman" w:eastAsia="宋体" w:cs="Times New Roman"/>
          <w:b/>
          <w:bCs/>
          <w:color w:val="auto"/>
        </w:rPr>
        <w:t>废水</w:t>
      </w:r>
      <w:r>
        <w:rPr>
          <w:rFonts w:hint="default" w:ascii="Times New Roman" w:hAnsi="Times New Roman" w:eastAsia="宋体" w:cs="Times New Roman"/>
          <w:b/>
          <w:bCs/>
          <w:color w:val="auto"/>
          <w:lang w:val="en-US" w:eastAsia="zh-CN"/>
        </w:rPr>
        <w:t>排放标准</w:t>
      </w:r>
    </w:p>
    <w:p>
      <w:pPr>
        <w:keepNext w:val="0"/>
        <w:keepLines w:val="0"/>
        <w:widowControl/>
        <w:suppressLineNumbers w:val="0"/>
        <w:jc w:val="left"/>
        <w:rPr>
          <w:rFonts w:hint="default" w:ascii="Times New Roman" w:hAnsi="Times New Roman" w:eastAsia="宋体" w:cs="Times New Roman"/>
          <w:color w:val="auto"/>
          <w:lang w:eastAsia="zh-CN"/>
        </w:rPr>
      </w:pPr>
      <w:r>
        <w:rPr>
          <w:rFonts w:hint="default" w:ascii="Times New Roman" w:hAnsi="Times New Roman" w:eastAsia="宋体" w:cs="Times New Roman"/>
          <w:color w:val="auto"/>
          <w:kern w:val="0"/>
          <w:sz w:val="24"/>
          <w:szCs w:val="24"/>
          <w:lang w:val="en-US" w:eastAsia="zh-CN" w:bidi="ar"/>
        </w:rPr>
        <w:t>本工程新建陵江清管站，原址扩建元坝首站。陵江清管站设有检修值班人员休息室，设有生态厕所，会产生少量生活废水，站场生活污水处理新建地埋式生活污水处理装置，处理后的污水用于站内绿化、浇洒道路等，不外排。元坝首站为在原有站址扩建，不新增员工，生活污水依托原有污水处理设施处理后用于站内绿化和浇洒道路，不外排。项目废水执行《污水综合排放标准》（GB8978-1996）中的一级标准要求</w:t>
      </w:r>
    </w:p>
    <w:p>
      <w:pPr>
        <w:tabs>
          <w:tab w:val="left" w:pos="377"/>
        </w:tabs>
        <w:adjustRightInd w:val="0"/>
        <w:snapToGrid w:val="0"/>
        <w:spacing w:line="240" w:lineRule="auto"/>
        <w:ind w:firstLine="482" w:firstLineChars="200"/>
        <w:jc w:val="center"/>
        <w:rPr>
          <w:rFonts w:hint="default" w:ascii="Times New Roman" w:hAnsi="Times New Roman" w:eastAsia="宋体" w:cs="Times New Roman"/>
          <w:b/>
          <w:bCs/>
          <w:color w:val="auto"/>
          <w:position w:val="-3"/>
          <w:highlight w:val="none"/>
        </w:rPr>
      </w:pPr>
      <w:r>
        <w:rPr>
          <w:rFonts w:hint="default" w:ascii="Times New Roman" w:hAnsi="Times New Roman" w:eastAsia="宋体" w:cs="Times New Roman"/>
          <w:b/>
          <w:bCs/>
          <w:color w:val="auto"/>
          <w:position w:val="-3"/>
          <w:highlight w:val="none"/>
        </w:rPr>
        <w:t>表</w:t>
      </w:r>
      <w:r>
        <w:rPr>
          <w:rFonts w:hint="default" w:ascii="Times New Roman" w:hAnsi="Times New Roman" w:eastAsia="宋体" w:cs="Times New Roman"/>
          <w:b/>
          <w:bCs/>
          <w:color w:val="auto"/>
          <w:position w:val="-3"/>
          <w:highlight w:val="none"/>
          <w:lang w:val="en-US" w:eastAsia="zh-CN"/>
        </w:rPr>
        <w:t>1.5-7</w:t>
      </w:r>
      <w:r>
        <w:rPr>
          <w:rFonts w:hint="default" w:ascii="Times New Roman" w:hAnsi="Times New Roman" w:eastAsia="宋体" w:cs="Times New Roman"/>
          <w:b/>
          <w:bCs/>
          <w:color w:val="auto"/>
          <w:position w:val="-3"/>
          <w:highlight w:val="none"/>
        </w:rPr>
        <w:t xml:space="preserve">  废水污染物排放标准</w:t>
      </w:r>
    </w:p>
    <w:tbl>
      <w:tblPr>
        <w:tblStyle w:val="25"/>
        <w:tblW w:w="91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2"/>
        <w:gridCol w:w="2449"/>
        <w:gridCol w:w="2851"/>
        <w:gridCol w:w="2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1022" w:type="dxa"/>
            <w:vAlign w:val="center"/>
          </w:tcPr>
          <w:p>
            <w:pPr>
              <w:pStyle w:val="65"/>
              <w:keepNext w:val="0"/>
              <w:keepLines w:val="0"/>
              <w:pageBreakBefore w:val="0"/>
              <w:widowControl w:val="0"/>
              <w:kinsoku/>
              <w:wordWrap/>
              <w:overflowPunct/>
              <w:topLinePunct w:val="0"/>
              <w:autoSpaceDE/>
              <w:autoSpaceDN/>
              <w:bidi w:val="0"/>
              <w:adjustRightInd w:val="0"/>
              <w:snapToGrid w:val="0"/>
              <w:spacing w:before="0" w:beforeLines="0" w:line="360" w:lineRule="exact"/>
              <w:ind w:firstLine="0" w:firstLineChars="0"/>
              <w:textAlignment w:val="auto"/>
              <w:outlineLvl w:val="4"/>
              <w:rPr>
                <w:rFonts w:hint="default" w:ascii="Times New Roman" w:hAnsi="Times New Roman" w:eastAsia="宋体" w:cs="Times New Roman"/>
                <w:b/>
                <w:snapToGrid w:val="0"/>
                <w:color w:val="auto"/>
                <w:spacing w:val="4"/>
                <w:kern w:val="2"/>
                <w:sz w:val="21"/>
                <w:szCs w:val="21"/>
                <w:lang w:val="en-US" w:eastAsia="zh-CN" w:bidi="ar-SA"/>
              </w:rPr>
            </w:pPr>
            <w:r>
              <w:rPr>
                <w:rFonts w:hint="default" w:ascii="Times New Roman" w:hAnsi="Times New Roman" w:eastAsia="宋体" w:cs="Times New Roman"/>
                <w:color w:val="auto"/>
                <w:sz w:val="21"/>
                <w:szCs w:val="21"/>
              </w:rPr>
              <w:t>序号</w:t>
            </w:r>
          </w:p>
        </w:tc>
        <w:tc>
          <w:tcPr>
            <w:tcW w:w="2449" w:type="dxa"/>
            <w:vAlign w:val="center"/>
          </w:tcPr>
          <w:p>
            <w:pPr>
              <w:pStyle w:val="65"/>
              <w:keepNext w:val="0"/>
              <w:keepLines w:val="0"/>
              <w:pageBreakBefore w:val="0"/>
              <w:widowControl w:val="0"/>
              <w:kinsoku/>
              <w:wordWrap/>
              <w:overflowPunct/>
              <w:topLinePunct w:val="0"/>
              <w:autoSpaceDE/>
              <w:autoSpaceDN/>
              <w:bidi w:val="0"/>
              <w:adjustRightInd w:val="0"/>
              <w:snapToGrid w:val="0"/>
              <w:spacing w:before="0" w:beforeLines="0" w:line="360" w:lineRule="exact"/>
              <w:ind w:firstLine="0" w:firstLineChars="0"/>
              <w:textAlignment w:val="auto"/>
              <w:outlineLvl w:val="4"/>
              <w:rPr>
                <w:rFonts w:hint="default" w:ascii="Times New Roman" w:hAnsi="Times New Roman" w:eastAsia="宋体" w:cs="Times New Roman"/>
                <w:b/>
                <w:snapToGrid w:val="0"/>
                <w:color w:val="auto"/>
                <w:spacing w:val="4"/>
                <w:kern w:val="2"/>
                <w:sz w:val="21"/>
                <w:szCs w:val="21"/>
                <w:lang w:val="en-US" w:eastAsia="zh-CN" w:bidi="ar-SA"/>
              </w:rPr>
            </w:pPr>
            <w:r>
              <w:rPr>
                <w:rFonts w:hint="default" w:ascii="Times New Roman" w:hAnsi="Times New Roman" w:eastAsia="宋体" w:cs="Times New Roman"/>
                <w:color w:val="auto"/>
                <w:sz w:val="21"/>
                <w:szCs w:val="21"/>
              </w:rPr>
              <w:t>项目名称</w:t>
            </w:r>
          </w:p>
        </w:tc>
        <w:tc>
          <w:tcPr>
            <w:tcW w:w="2851" w:type="dxa"/>
            <w:vAlign w:val="center"/>
          </w:tcPr>
          <w:p>
            <w:pPr>
              <w:pStyle w:val="65"/>
              <w:keepNext w:val="0"/>
              <w:keepLines w:val="0"/>
              <w:pageBreakBefore w:val="0"/>
              <w:widowControl w:val="0"/>
              <w:kinsoku/>
              <w:wordWrap/>
              <w:overflowPunct/>
              <w:topLinePunct w:val="0"/>
              <w:autoSpaceDE/>
              <w:autoSpaceDN/>
              <w:bidi w:val="0"/>
              <w:adjustRightInd w:val="0"/>
              <w:snapToGrid w:val="0"/>
              <w:spacing w:before="0" w:beforeLines="0" w:line="360" w:lineRule="exact"/>
              <w:ind w:firstLine="0" w:firstLineChars="0"/>
              <w:textAlignment w:val="auto"/>
              <w:outlineLvl w:val="4"/>
              <w:rPr>
                <w:rFonts w:hint="default" w:ascii="Times New Roman" w:hAnsi="Times New Roman" w:eastAsia="宋体" w:cs="Times New Roman"/>
                <w:b w:val="0"/>
                <w:bCs/>
                <w:snapToGrid w:val="0"/>
                <w:color w:val="auto"/>
                <w:spacing w:val="4"/>
                <w:kern w:val="2"/>
                <w:sz w:val="21"/>
                <w:szCs w:val="21"/>
                <w:lang w:val="en-US" w:eastAsia="zh-CN" w:bidi="ar-SA"/>
              </w:rPr>
            </w:pPr>
            <w:r>
              <w:rPr>
                <w:rFonts w:hint="default" w:ascii="Times New Roman" w:hAnsi="Times New Roman" w:eastAsia="宋体" w:cs="Times New Roman"/>
                <w:b w:val="0"/>
                <w:bCs/>
                <w:snapToGrid w:val="0"/>
                <w:color w:val="auto"/>
                <w:spacing w:val="4"/>
                <w:kern w:val="2"/>
                <w:sz w:val="21"/>
                <w:szCs w:val="21"/>
                <w:lang w:val="en-US" w:eastAsia="zh-CN" w:bidi="ar-SA"/>
              </w:rPr>
              <w:t>/</w:t>
            </w:r>
          </w:p>
        </w:tc>
        <w:tc>
          <w:tcPr>
            <w:tcW w:w="2851" w:type="dxa"/>
            <w:vAlign w:val="center"/>
          </w:tcPr>
          <w:p>
            <w:pPr>
              <w:pStyle w:val="65"/>
              <w:keepNext w:val="0"/>
              <w:keepLines w:val="0"/>
              <w:pageBreakBefore w:val="0"/>
              <w:widowControl w:val="0"/>
              <w:kinsoku/>
              <w:wordWrap/>
              <w:overflowPunct/>
              <w:topLinePunct w:val="0"/>
              <w:autoSpaceDE/>
              <w:autoSpaceDN/>
              <w:bidi w:val="0"/>
              <w:adjustRightInd w:val="0"/>
              <w:snapToGrid w:val="0"/>
              <w:spacing w:before="0" w:beforeLines="0" w:line="360" w:lineRule="exact"/>
              <w:ind w:firstLine="0" w:firstLineChars="0"/>
              <w:textAlignment w:val="auto"/>
              <w:outlineLvl w:val="4"/>
              <w:rPr>
                <w:rFonts w:hint="default" w:ascii="Times New Roman" w:hAnsi="Times New Roman" w:eastAsia="宋体" w:cs="Times New Roman"/>
                <w:b w:val="0"/>
                <w:bCs/>
                <w:snapToGrid w:val="0"/>
                <w:color w:val="auto"/>
                <w:spacing w:val="4"/>
                <w:kern w:val="2"/>
                <w:sz w:val="21"/>
                <w:szCs w:val="21"/>
                <w:lang w:val="en-US" w:eastAsia="zh-CN" w:bidi="ar-SA"/>
              </w:rPr>
            </w:pPr>
            <w:r>
              <w:rPr>
                <w:rFonts w:hint="default" w:ascii="Times New Roman" w:hAnsi="Times New Roman" w:eastAsia="宋体" w:cs="Times New Roman"/>
                <w:b w:val="0"/>
                <w:bCs/>
                <w:snapToGrid w:val="0"/>
                <w:color w:val="auto"/>
                <w:spacing w:val="4"/>
                <w:kern w:val="2"/>
                <w:sz w:val="21"/>
                <w:szCs w:val="21"/>
                <w:lang w:val="en-US" w:eastAsia="zh-CN" w:bidi="ar-SA"/>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1022" w:type="dxa"/>
            <w:vAlign w:val="center"/>
          </w:tcPr>
          <w:p>
            <w:pPr>
              <w:keepNext w:val="0"/>
              <w:keepLines w:val="0"/>
              <w:pageBreakBefore w:val="0"/>
              <w:widowControl w:val="0"/>
              <w:tabs>
                <w:tab w:val="left" w:pos="377"/>
              </w:tabs>
              <w:kinsoku/>
              <w:wordWrap/>
              <w:overflowPunct/>
              <w:topLinePunct w:val="0"/>
              <w:autoSpaceDE/>
              <w:autoSpaceDN/>
              <w:bidi w:val="0"/>
              <w:adjustRightInd w:val="0"/>
              <w:snapToGrid w:val="0"/>
              <w:spacing w:line="360" w:lineRule="exact"/>
              <w:ind w:firstLine="0" w:firstLineChars="0"/>
              <w:jc w:val="center"/>
              <w:textAlignment w:val="auto"/>
              <w:outlineLvl w:val="4"/>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244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color w:val="auto"/>
                <w:sz w:val="21"/>
                <w:szCs w:val="21"/>
              </w:rPr>
              <w:t>pH值（无量纲）</w:t>
            </w:r>
          </w:p>
        </w:tc>
        <w:tc>
          <w:tcPr>
            <w:tcW w:w="285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rPr>
              <w:t>6.0~</w:t>
            </w:r>
            <w:r>
              <w:rPr>
                <w:rFonts w:hint="default" w:ascii="Times New Roman" w:hAnsi="Times New Roman" w:eastAsia="宋体" w:cs="Times New Roman"/>
                <w:b w:val="0"/>
                <w:bCs/>
                <w:color w:val="auto"/>
                <w:sz w:val="21"/>
                <w:szCs w:val="21"/>
                <w:lang w:val="en-US" w:eastAsia="zh-CN"/>
              </w:rPr>
              <w:t>9.0</w:t>
            </w:r>
            <w:r>
              <w:rPr>
                <w:rFonts w:hint="default" w:ascii="Times New Roman" w:hAnsi="Times New Roman" w:eastAsia="宋体" w:cs="Times New Roman"/>
                <w:b w:val="0"/>
                <w:bCs/>
                <w:color w:val="auto"/>
                <w:sz w:val="21"/>
                <w:szCs w:val="21"/>
              </w:rPr>
              <w:t>(无量纲)</w:t>
            </w:r>
          </w:p>
        </w:tc>
        <w:tc>
          <w:tcPr>
            <w:tcW w:w="2851" w:type="dxa"/>
            <w:vMerge w:val="restart"/>
            <w:vAlign w:val="center"/>
          </w:tcPr>
          <w:p>
            <w:pPr>
              <w:keepNext w:val="0"/>
              <w:keepLines w:val="0"/>
              <w:widowControl/>
              <w:suppressLineNumbers w:val="0"/>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《污水综合排放标准》(GB 8978-1996)三级标准</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1022" w:type="dxa"/>
            <w:vAlign w:val="center"/>
          </w:tcPr>
          <w:p>
            <w:pPr>
              <w:keepNext w:val="0"/>
              <w:keepLines w:val="0"/>
              <w:pageBreakBefore w:val="0"/>
              <w:widowControl w:val="0"/>
              <w:tabs>
                <w:tab w:val="left" w:pos="377"/>
              </w:tabs>
              <w:kinsoku/>
              <w:wordWrap/>
              <w:overflowPunct/>
              <w:topLinePunct w:val="0"/>
              <w:autoSpaceDE/>
              <w:autoSpaceDN/>
              <w:bidi w:val="0"/>
              <w:adjustRightInd w:val="0"/>
              <w:snapToGrid w:val="0"/>
              <w:spacing w:line="360" w:lineRule="exact"/>
              <w:ind w:firstLine="0" w:firstLineChars="0"/>
              <w:jc w:val="center"/>
              <w:textAlignment w:val="auto"/>
              <w:outlineLvl w:val="4"/>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244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color w:val="auto"/>
                <w:sz w:val="21"/>
                <w:szCs w:val="21"/>
              </w:rPr>
              <w:t>CODcr</w:t>
            </w:r>
          </w:p>
        </w:tc>
        <w:tc>
          <w:tcPr>
            <w:tcW w:w="285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100</w:t>
            </w:r>
            <w:r>
              <w:rPr>
                <w:rFonts w:hint="default" w:ascii="Times New Roman" w:hAnsi="Times New Roman" w:eastAsia="宋体" w:cs="Times New Roman"/>
                <w:color w:val="auto"/>
                <w:sz w:val="21"/>
                <w:szCs w:val="21"/>
              </w:rPr>
              <w:t>mg/L</w:t>
            </w:r>
          </w:p>
        </w:tc>
        <w:tc>
          <w:tcPr>
            <w:tcW w:w="2851"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1022" w:type="dxa"/>
            <w:vAlign w:val="center"/>
          </w:tcPr>
          <w:p>
            <w:pPr>
              <w:keepNext w:val="0"/>
              <w:keepLines w:val="0"/>
              <w:pageBreakBefore w:val="0"/>
              <w:widowControl w:val="0"/>
              <w:tabs>
                <w:tab w:val="left" w:pos="377"/>
              </w:tabs>
              <w:kinsoku/>
              <w:wordWrap/>
              <w:overflowPunct/>
              <w:topLinePunct w:val="0"/>
              <w:autoSpaceDE/>
              <w:autoSpaceDN/>
              <w:bidi w:val="0"/>
              <w:adjustRightInd w:val="0"/>
              <w:snapToGrid w:val="0"/>
              <w:spacing w:line="360" w:lineRule="exact"/>
              <w:ind w:firstLine="0" w:firstLineChars="0"/>
              <w:jc w:val="center"/>
              <w:textAlignment w:val="auto"/>
              <w:outlineLvl w:val="4"/>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w:t>
            </w:r>
          </w:p>
        </w:tc>
        <w:tc>
          <w:tcPr>
            <w:tcW w:w="244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color w:val="auto"/>
                <w:sz w:val="21"/>
                <w:szCs w:val="21"/>
              </w:rPr>
              <w:t>BOD</w:t>
            </w:r>
            <w:r>
              <w:rPr>
                <w:rFonts w:hint="default" w:ascii="Times New Roman" w:hAnsi="Times New Roman" w:eastAsia="宋体" w:cs="Times New Roman"/>
                <w:color w:val="auto"/>
                <w:sz w:val="21"/>
                <w:szCs w:val="21"/>
                <w:vertAlign w:val="subscript"/>
              </w:rPr>
              <w:t>5</w:t>
            </w:r>
          </w:p>
        </w:tc>
        <w:tc>
          <w:tcPr>
            <w:tcW w:w="285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20</w:t>
            </w:r>
            <w:r>
              <w:rPr>
                <w:rFonts w:hint="default" w:ascii="Times New Roman" w:hAnsi="Times New Roman" w:eastAsia="宋体" w:cs="Times New Roman"/>
                <w:color w:val="auto"/>
                <w:sz w:val="21"/>
                <w:szCs w:val="21"/>
              </w:rPr>
              <w:t>mg/L</w:t>
            </w:r>
          </w:p>
        </w:tc>
        <w:tc>
          <w:tcPr>
            <w:tcW w:w="2851"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1022" w:type="dxa"/>
            <w:vAlign w:val="center"/>
          </w:tcPr>
          <w:p>
            <w:pPr>
              <w:keepNext w:val="0"/>
              <w:keepLines w:val="0"/>
              <w:pageBreakBefore w:val="0"/>
              <w:widowControl w:val="0"/>
              <w:tabs>
                <w:tab w:val="left" w:pos="377"/>
              </w:tabs>
              <w:kinsoku/>
              <w:wordWrap/>
              <w:overflowPunct/>
              <w:topLinePunct w:val="0"/>
              <w:autoSpaceDE/>
              <w:autoSpaceDN/>
              <w:bidi w:val="0"/>
              <w:adjustRightInd w:val="0"/>
              <w:snapToGrid w:val="0"/>
              <w:spacing w:line="360" w:lineRule="exact"/>
              <w:ind w:firstLine="0" w:firstLineChars="0"/>
              <w:jc w:val="center"/>
              <w:textAlignment w:val="auto"/>
              <w:outlineLvl w:val="4"/>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w:t>
            </w:r>
          </w:p>
        </w:tc>
        <w:tc>
          <w:tcPr>
            <w:tcW w:w="244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color w:val="auto"/>
                <w:sz w:val="21"/>
                <w:szCs w:val="21"/>
              </w:rPr>
              <w:t>SS</w:t>
            </w:r>
          </w:p>
        </w:tc>
        <w:tc>
          <w:tcPr>
            <w:tcW w:w="285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70</w:t>
            </w:r>
            <w:r>
              <w:rPr>
                <w:rFonts w:hint="default" w:ascii="Times New Roman" w:hAnsi="Times New Roman" w:eastAsia="宋体" w:cs="Times New Roman"/>
                <w:color w:val="auto"/>
                <w:sz w:val="21"/>
                <w:szCs w:val="21"/>
              </w:rPr>
              <w:t>mg/L</w:t>
            </w:r>
          </w:p>
        </w:tc>
        <w:tc>
          <w:tcPr>
            <w:tcW w:w="2851"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1022" w:type="dxa"/>
            <w:vAlign w:val="center"/>
          </w:tcPr>
          <w:p>
            <w:pPr>
              <w:keepNext w:val="0"/>
              <w:keepLines w:val="0"/>
              <w:pageBreakBefore w:val="0"/>
              <w:widowControl w:val="0"/>
              <w:tabs>
                <w:tab w:val="left" w:pos="377"/>
              </w:tabs>
              <w:kinsoku/>
              <w:wordWrap/>
              <w:overflowPunct/>
              <w:topLinePunct w:val="0"/>
              <w:autoSpaceDE/>
              <w:autoSpaceDN/>
              <w:bidi w:val="0"/>
              <w:adjustRightInd w:val="0"/>
              <w:snapToGrid w:val="0"/>
              <w:spacing w:line="360" w:lineRule="exact"/>
              <w:ind w:firstLine="0" w:firstLineChars="0"/>
              <w:jc w:val="center"/>
              <w:textAlignment w:val="auto"/>
              <w:outlineLvl w:val="4"/>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w:t>
            </w:r>
          </w:p>
        </w:tc>
        <w:tc>
          <w:tcPr>
            <w:tcW w:w="244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color w:val="auto"/>
                <w:sz w:val="21"/>
                <w:szCs w:val="21"/>
              </w:rPr>
              <w:t>氨氮</w:t>
            </w:r>
          </w:p>
        </w:tc>
        <w:tc>
          <w:tcPr>
            <w:tcW w:w="285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15</w:t>
            </w:r>
            <w:r>
              <w:rPr>
                <w:rFonts w:hint="default" w:ascii="Times New Roman" w:hAnsi="Times New Roman" w:eastAsia="宋体" w:cs="Times New Roman"/>
                <w:color w:val="auto"/>
                <w:sz w:val="21"/>
                <w:szCs w:val="21"/>
              </w:rPr>
              <w:t>mg/L</w:t>
            </w:r>
          </w:p>
        </w:tc>
        <w:tc>
          <w:tcPr>
            <w:tcW w:w="2851"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1022" w:type="dxa"/>
            <w:vAlign w:val="center"/>
          </w:tcPr>
          <w:p>
            <w:pPr>
              <w:keepNext w:val="0"/>
              <w:keepLines w:val="0"/>
              <w:pageBreakBefore w:val="0"/>
              <w:widowControl w:val="0"/>
              <w:tabs>
                <w:tab w:val="left" w:pos="377"/>
              </w:tabs>
              <w:kinsoku/>
              <w:wordWrap/>
              <w:overflowPunct/>
              <w:topLinePunct w:val="0"/>
              <w:autoSpaceDE/>
              <w:autoSpaceDN/>
              <w:bidi w:val="0"/>
              <w:adjustRightInd w:val="0"/>
              <w:snapToGrid w:val="0"/>
              <w:spacing w:line="360" w:lineRule="exact"/>
              <w:ind w:firstLine="0" w:firstLineChars="0"/>
              <w:jc w:val="center"/>
              <w:textAlignment w:val="auto"/>
              <w:outlineLvl w:val="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2449" w:type="dxa"/>
            <w:vAlign w:val="center"/>
          </w:tcPr>
          <w:p>
            <w:pPr>
              <w:keepNext w:val="0"/>
              <w:keepLines w:val="0"/>
              <w:pageBreakBefore w:val="0"/>
              <w:widowControl w:val="0"/>
              <w:tabs>
                <w:tab w:val="left" w:pos="377"/>
              </w:tabs>
              <w:kinsoku/>
              <w:wordWrap/>
              <w:overflowPunct/>
              <w:topLinePunct w:val="0"/>
              <w:autoSpaceDE/>
              <w:autoSpaceDN/>
              <w:bidi w:val="0"/>
              <w:adjustRightInd w:val="0"/>
              <w:snapToGrid w:val="0"/>
              <w:spacing w:line="360" w:lineRule="exact"/>
              <w:ind w:firstLine="0" w:firstLineChars="0"/>
              <w:jc w:val="center"/>
              <w:textAlignment w:val="auto"/>
              <w:outlineLvl w:val="4"/>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动植物油</w:t>
            </w:r>
          </w:p>
        </w:tc>
        <w:tc>
          <w:tcPr>
            <w:tcW w:w="2851" w:type="dxa"/>
            <w:vAlign w:val="center"/>
          </w:tcPr>
          <w:p>
            <w:pPr>
              <w:keepNext w:val="0"/>
              <w:keepLines w:val="0"/>
              <w:pageBreakBefore w:val="0"/>
              <w:widowControl w:val="0"/>
              <w:tabs>
                <w:tab w:val="left" w:pos="377"/>
              </w:tabs>
              <w:kinsoku/>
              <w:wordWrap/>
              <w:overflowPunct/>
              <w:topLinePunct w:val="0"/>
              <w:autoSpaceDE/>
              <w:autoSpaceDN/>
              <w:bidi w:val="0"/>
              <w:adjustRightInd w:val="0"/>
              <w:snapToGrid w:val="0"/>
              <w:spacing w:line="360" w:lineRule="exact"/>
              <w:ind w:firstLine="0" w:firstLineChars="0"/>
              <w:jc w:val="center"/>
              <w:textAlignment w:val="auto"/>
              <w:outlineLvl w:val="4"/>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100</w:t>
            </w:r>
            <w:r>
              <w:rPr>
                <w:rFonts w:hint="default" w:ascii="Times New Roman" w:hAnsi="Times New Roman" w:eastAsia="宋体" w:cs="Times New Roman"/>
                <w:color w:val="auto"/>
                <w:sz w:val="21"/>
                <w:szCs w:val="21"/>
              </w:rPr>
              <w:t>mg/L</w:t>
            </w:r>
          </w:p>
        </w:tc>
        <w:tc>
          <w:tcPr>
            <w:tcW w:w="2851"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1022" w:type="dxa"/>
            <w:vAlign w:val="center"/>
          </w:tcPr>
          <w:p>
            <w:pPr>
              <w:keepNext w:val="0"/>
              <w:keepLines w:val="0"/>
              <w:pageBreakBefore w:val="0"/>
              <w:widowControl w:val="0"/>
              <w:tabs>
                <w:tab w:val="left" w:pos="377"/>
              </w:tabs>
              <w:kinsoku/>
              <w:wordWrap/>
              <w:overflowPunct/>
              <w:topLinePunct w:val="0"/>
              <w:autoSpaceDE/>
              <w:autoSpaceDN/>
              <w:bidi w:val="0"/>
              <w:adjustRightInd w:val="0"/>
              <w:snapToGrid w:val="0"/>
              <w:spacing w:line="360" w:lineRule="exact"/>
              <w:ind w:firstLine="0" w:firstLineChars="0"/>
              <w:jc w:val="center"/>
              <w:textAlignment w:val="auto"/>
              <w:outlineLvl w:val="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2449" w:type="dxa"/>
            <w:vAlign w:val="center"/>
          </w:tcPr>
          <w:p>
            <w:pPr>
              <w:keepNext w:val="0"/>
              <w:keepLines w:val="0"/>
              <w:pageBreakBefore w:val="0"/>
              <w:widowControl w:val="0"/>
              <w:tabs>
                <w:tab w:val="left" w:pos="377"/>
              </w:tabs>
              <w:kinsoku/>
              <w:wordWrap/>
              <w:overflowPunct/>
              <w:topLinePunct w:val="0"/>
              <w:autoSpaceDE/>
              <w:autoSpaceDN/>
              <w:bidi w:val="0"/>
              <w:adjustRightInd w:val="0"/>
              <w:snapToGrid w:val="0"/>
              <w:spacing w:line="360" w:lineRule="exact"/>
              <w:ind w:firstLine="0" w:firstLineChars="0"/>
              <w:jc w:val="center"/>
              <w:textAlignment w:val="auto"/>
              <w:outlineLvl w:val="4"/>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石油类</w:t>
            </w:r>
          </w:p>
        </w:tc>
        <w:tc>
          <w:tcPr>
            <w:tcW w:w="2851" w:type="dxa"/>
            <w:vAlign w:val="center"/>
          </w:tcPr>
          <w:p>
            <w:pPr>
              <w:keepNext w:val="0"/>
              <w:keepLines w:val="0"/>
              <w:pageBreakBefore w:val="0"/>
              <w:widowControl w:val="0"/>
              <w:tabs>
                <w:tab w:val="left" w:pos="377"/>
              </w:tabs>
              <w:kinsoku/>
              <w:wordWrap/>
              <w:overflowPunct/>
              <w:topLinePunct w:val="0"/>
              <w:autoSpaceDE/>
              <w:autoSpaceDN/>
              <w:bidi w:val="0"/>
              <w:adjustRightInd w:val="0"/>
              <w:snapToGrid w:val="0"/>
              <w:spacing w:line="360" w:lineRule="exact"/>
              <w:ind w:firstLine="0" w:firstLineChars="0"/>
              <w:jc w:val="center"/>
              <w:textAlignment w:val="auto"/>
              <w:outlineLvl w:val="4"/>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w:t>
            </w:r>
            <w:r>
              <w:rPr>
                <w:rFonts w:hint="default" w:ascii="Times New Roman" w:hAnsi="Times New Roman" w:eastAsia="宋体" w:cs="Times New Roman"/>
                <w:color w:val="auto"/>
                <w:sz w:val="21"/>
                <w:szCs w:val="21"/>
              </w:rPr>
              <w:t>mg/L</w:t>
            </w:r>
          </w:p>
        </w:tc>
        <w:tc>
          <w:tcPr>
            <w:tcW w:w="2851"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snapToGrid/>
                <w:color w:val="auto"/>
                <w:spacing w:val="0"/>
                <w:kern w:val="2"/>
                <w:sz w:val="21"/>
                <w:szCs w:val="21"/>
              </w:rPr>
            </w:pPr>
          </w:p>
        </w:tc>
      </w:tr>
    </w:tbl>
    <w:p>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1.5.2.3噪声排放标准</w:t>
      </w:r>
    </w:p>
    <w:p>
      <w:pPr>
        <w:bidi w:val="0"/>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lang w:val="en-US" w:eastAsia="zh-CN"/>
        </w:rPr>
        <w:t>本工程噪声的排放在施工期执行《建筑施工场界环境噪声排放标准》（GB12523-2011），在营运期执行《工业企业厂界环境噪声排放标准》（GB12348-2008）中2类标准，见下表。</w:t>
      </w:r>
    </w:p>
    <w:p>
      <w:pPr>
        <w:pStyle w:val="13"/>
        <w:bidi w:val="0"/>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表1.5-8  本工程噪声排放标准</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8"/>
        <w:gridCol w:w="3058"/>
        <w:gridCol w:w="30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05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标准类别</w:t>
            </w:r>
          </w:p>
        </w:tc>
        <w:tc>
          <w:tcPr>
            <w:tcW w:w="6116"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等效声级</w:t>
            </w:r>
            <w:r>
              <w:rPr>
                <w:rFonts w:hint="default" w:ascii="Times New Roman" w:hAnsi="Times New Roman" w:eastAsia="宋体" w:cs="Times New Roman"/>
                <w:color w:val="auto"/>
                <w:kern w:val="0"/>
                <w:sz w:val="21"/>
                <w:szCs w:val="21"/>
                <w:lang w:val="en-US" w:eastAsia="zh-CN" w:bidi="ar"/>
              </w:rPr>
              <w:t>LAeq(dBA)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3058"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《建筑施工场界环境噪声排放标准》（GB12523-2011）</w:t>
            </w:r>
          </w:p>
        </w:tc>
        <w:tc>
          <w:tcPr>
            <w:tcW w:w="305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昼间</w:t>
            </w:r>
          </w:p>
        </w:tc>
        <w:tc>
          <w:tcPr>
            <w:tcW w:w="305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058"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05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70</w:t>
            </w:r>
          </w:p>
        </w:tc>
        <w:tc>
          <w:tcPr>
            <w:tcW w:w="305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058"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6116"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备注：夜间噪声最大声级超过限值的幅度不得高于 15dB（A）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058"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《工业企业厂界环境噪声</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排放标准》（GB12348-2008）中2类标准</w:t>
            </w:r>
          </w:p>
        </w:tc>
        <w:tc>
          <w:tcPr>
            <w:tcW w:w="305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昼间</w:t>
            </w:r>
          </w:p>
        </w:tc>
        <w:tc>
          <w:tcPr>
            <w:tcW w:w="305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058"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305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60</w:t>
            </w:r>
          </w:p>
        </w:tc>
        <w:tc>
          <w:tcPr>
            <w:tcW w:w="305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50</w:t>
            </w:r>
          </w:p>
        </w:tc>
      </w:tr>
    </w:tbl>
    <w:p>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1.5.2.4固体污染物排放标准</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生活垃圾、废弃泥浆、施工弃渣以及运行期清管收球作业、分离器检修产生的废渣等固体废物的处理、处置应执行《一般工业固体废物贮存</w:t>
      </w:r>
      <w:r>
        <w:rPr>
          <w:rFonts w:hint="eastAsia" w:ascii="Times New Roman" w:hAnsi="Times New Roman" w:cs="Times New Roman"/>
          <w:color w:val="auto"/>
          <w:lang w:val="en-US" w:eastAsia="zh-CN"/>
        </w:rPr>
        <w:t>和填埋</w:t>
      </w:r>
      <w:r>
        <w:rPr>
          <w:rFonts w:hint="default" w:ascii="Times New Roman" w:hAnsi="Times New Roman" w:eastAsia="宋体" w:cs="Times New Roman"/>
          <w:color w:val="auto"/>
          <w:lang w:val="en-US" w:eastAsia="zh-CN"/>
        </w:rPr>
        <w:t>污染控制标准》（GB18599-20</w:t>
      </w:r>
      <w:r>
        <w:rPr>
          <w:rFonts w:hint="eastAsia" w:ascii="Times New Roman" w:hAnsi="Times New Roman" w:cs="Times New Roman"/>
          <w:color w:val="auto"/>
          <w:lang w:val="en-US" w:eastAsia="zh-CN"/>
        </w:rPr>
        <w:t>20</w:t>
      </w:r>
      <w:r>
        <w:rPr>
          <w:rFonts w:hint="default" w:ascii="Times New Roman" w:hAnsi="Times New Roman" w:eastAsia="宋体" w:cs="Times New Roman"/>
          <w:color w:val="auto"/>
          <w:lang w:val="en-US" w:eastAsia="zh-CN"/>
        </w:rPr>
        <w:t>）中的有关规定，并且建立固体废物产生、存放、处置台账；运行期压缩机维修保养产生的废润滑油的处理、处置应执行《危险废物贮存污染控制标准》(GB 18597-2001 标准及 2013 年修改单)等有关规定。</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危险废物：依照《危险废物贮存污染控制标准（GB 18598-2001）及2013年修改单的要求进行收集、运送、贮存和处置；危险废物的处置需建立相关台账，且危废转移需有转移四联单：产生单位、运输单位、接收单位、环保部门各一份。</w:t>
      </w:r>
    </w:p>
    <w:p>
      <w:pPr>
        <w:pStyle w:val="5"/>
        <w:bidi w:val="0"/>
        <w:rPr>
          <w:rFonts w:hint="default" w:ascii="Times New Roman" w:hAnsi="Times New Roman" w:eastAsia="宋体" w:cs="Times New Roman"/>
          <w:color w:val="auto"/>
          <w:lang w:val="en-US" w:eastAsia="zh-CN"/>
        </w:rPr>
      </w:pPr>
      <w:bookmarkStart w:id="17" w:name="_Toc4556"/>
      <w:r>
        <w:rPr>
          <w:rFonts w:hint="default" w:ascii="Times New Roman" w:hAnsi="Times New Roman" w:eastAsia="宋体" w:cs="Times New Roman"/>
          <w:color w:val="auto"/>
          <w:lang w:val="en-US" w:eastAsia="zh-CN"/>
        </w:rPr>
        <w:t>1.6 评价等级、评价范围</w:t>
      </w:r>
      <w:bookmarkEnd w:id="17"/>
      <w:r>
        <w:rPr>
          <w:rFonts w:hint="default" w:ascii="Times New Roman" w:hAnsi="Times New Roman" w:eastAsia="宋体" w:cs="Times New Roman"/>
          <w:color w:val="auto"/>
          <w:lang w:val="en-US" w:eastAsia="zh-CN"/>
        </w:rPr>
        <w:t xml:space="preserve">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根据《环境影响评价技术导则》中的有关规定确定本工程各环境要素的评价工作等级。</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1.6.1.生态环境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1、评价等级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本工程管道全长 14.6 km，总占地面积46.23hm²,其中永久占地9.02hm²，临时占地37.21hm²，</w:t>
      </w:r>
      <w:r>
        <w:rPr>
          <w:rFonts w:hint="default" w:ascii="Times New Roman" w:hAnsi="Times New Roman" w:eastAsia="宋体" w:cs="Times New Roman"/>
          <w:b w:val="0"/>
          <w:bCs w:val="0"/>
          <w:color w:val="auto"/>
          <w:lang w:val="en-US" w:eastAsia="zh-CN"/>
        </w:rPr>
        <w:t>工程位于广元市苍溪县境内，</w:t>
      </w:r>
      <w:r>
        <w:rPr>
          <w:rFonts w:hint="default" w:ascii="Times New Roman" w:hAnsi="Times New Roman" w:eastAsia="宋体" w:cs="Times New Roman"/>
          <w:color w:val="auto"/>
          <w:kern w:val="0"/>
          <w:sz w:val="24"/>
          <w:szCs w:val="24"/>
          <w:lang w:val="en-US" w:eastAsia="zh-CN" w:bidi="ar"/>
        </w:rPr>
        <w:t>管段影响区域的生态敏感性属于一般区域，根据《环境影响评价技术导则 生态影响》（HJ19-2011）的划分等级表进行判断，本工程管道工程的生态影响评价工作等级定为三级，详见下表</w:t>
      </w:r>
    </w:p>
    <w:p>
      <w:pPr>
        <w:keepNext w:val="0"/>
        <w:keepLines w:val="0"/>
        <w:widowControl/>
        <w:suppressLineNumbers w:val="0"/>
        <w:jc w:val="center"/>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表 1.6-1 生态影响评价工作等级划分表</w:t>
      </w:r>
    </w:p>
    <w:tbl>
      <w:tblPr>
        <w:tblStyle w:val="24"/>
        <w:tblW w:w="4996" w:type="pct"/>
        <w:jc w:val="center"/>
        <w:shd w:val="clear" w:color="auto" w:fill="auto"/>
        <w:tblLayout w:type="autofit"/>
        <w:tblCellMar>
          <w:top w:w="0" w:type="dxa"/>
          <w:left w:w="108" w:type="dxa"/>
          <w:bottom w:w="0" w:type="dxa"/>
          <w:right w:w="108" w:type="dxa"/>
        </w:tblCellMar>
      </w:tblPr>
      <w:tblGrid>
        <w:gridCol w:w="1776"/>
        <w:gridCol w:w="1711"/>
        <w:gridCol w:w="1810"/>
        <w:gridCol w:w="1194"/>
        <w:gridCol w:w="1612"/>
        <w:gridCol w:w="1064"/>
      </w:tblGrid>
      <w:tr>
        <w:tblPrEx>
          <w:shd w:val="clear" w:color="auto" w:fill="auto"/>
          <w:tblCellMar>
            <w:top w:w="0" w:type="dxa"/>
            <w:left w:w="108" w:type="dxa"/>
            <w:bottom w:w="0" w:type="dxa"/>
            <w:right w:w="108" w:type="dxa"/>
          </w:tblCellMar>
        </w:tblPrEx>
        <w:trPr>
          <w:trHeight w:val="386" w:hRule="atLeast"/>
          <w:jc w:val="center"/>
        </w:trPr>
        <w:tc>
          <w:tcPr>
            <w:tcW w:w="96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影响区域生态敏感性</w:t>
            </w:r>
          </w:p>
        </w:tc>
        <w:tc>
          <w:tcPr>
            <w:tcW w:w="257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工程占地（水域）范围</w:t>
            </w:r>
          </w:p>
        </w:tc>
        <w:tc>
          <w:tcPr>
            <w:tcW w:w="87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本工程基本情况</w:t>
            </w:r>
          </w:p>
        </w:tc>
        <w:tc>
          <w:tcPr>
            <w:tcW w:w="58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工作等级判定</w:t>
            </w:r>
          </w:p>
        </w:tc>
      </w:tr>
      <w:tr>
        <w:tblPrEx>
          <w:shd w:val="clear" w:color="auto" w:fill="auto"/>
          <w:tblCellMar>
            <w:top w:w="0" w:type="dxa"/>
            <w:left w:w="108" w:type="dxa"/>
            <w:bottom w:w="0" w:type="dxa"/>
            <w:right w:w="108" w:type="dxa"/>
          </w:tblCellMar>
        </w:tblPrEx>
        <w:trPr>
          <w:trHeight w:val="1080" w:hRule="atLeast"/>
          <w:jc w:val="center"/>
        </w:trPr>
        <w:tc>
          <w:tcPr>
            <w:tcW w:w="96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93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面积≥20km</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或者长度≥100km</w:t>
            </w:r>
          </w:p>
        </w:tc>
        <w:tc>
          <w:tcPr>
            <w:tcW w:w="9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面积2km</w:t>
            </w:r>
            <w:r>
              <w:rPr>
                <w:rFonts w:hint="default" w:ascii="Times New Roman" w:hAnsi="Times New Roman" w:eastAsia="宋体" w:cs="Times New Roman"/>
                <w:i w:val="0"/>
                <w:iCs w:val="0"/>
                <w:color w:val="auto"/>
                <w:kern w:val="0"/>
                <w:sz w:val="21"/>
                <w:szCs w:val="21"/>
                <w:u w:val="none"/>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~20km</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或者长度50km~100km</w:t>
            </w:r>
          </w:p>
        </w:tc>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vertAlign w:val="superscript"/>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面≤2km</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或者长度≤50km</w:t>
            </w:r>
          </w:p>
        </w:tc>
        <w:tc>
          <w:tcPr>
            <w:tcW w:w="8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8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540" w:hRule="atLeast"/>
          <w:jc w:val="center"/>
        </w:trPr>
        <w:tc>
          <w:tcPr>
            <w:tcW w:w="9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特殊生态敏感区</w:t>
            </w:r>
          </w:p>
        </w:tc>
        <w:tc>
          <w:tcPr>
            <w:tcW w:w="93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一级</w:t>
            </w:r>
          </w:p>
        </w:tc>
        <w:tc>
          <w:tcPr>
            <w:tcW w:w="9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一级</w:t>
            </w:r>
          </w:p>
        </w:tc>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一级</w:t>
            </w:r>
          </w:p>
        </w:tc>
        <w:tc>
          <w:tcPr>
            <w:tcW w:w="87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项目管道全长 14.6 km；永久占地9.02hm²</w:t>
            </w:r>
          </w:p>
        </w:tc>
        <w:tc>
          <w:tcPr>
            <w:tcW w:w="58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三级</w:t>
            </w:r>
          </w:p>
        </w:tc>
      </w:tr>
      <w:tr>
        <w:tblPrEx>
          <w:shd w:val="clear" w:color="auto" w:fill="auto"/>
          <w:tblCellMar>
            <w:top w:w="0" w:type="dxa"/>
            <w:left w:w="108" w:type="dxa"/>
            <w:bottom w:w="0" w:type="dxa"/>
            <w:right w:w="108" w:type="dxa"/>
          </w:tblCellMar>
        </w:tblPrEx>
        <w:trPr>
          <w:trHeight w:val="540" w:hRule="atLeast"/>
          <w:jc w:val="center"/>
        </w:trPr>
        <w:tc>
          <w:tcPr>
            <w:tcW w:w="9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重要生态敏感区</w:t>
            </w:r>
          </w:p>
        </w:tc>
        <w:tc>
          <w:tcPr>
            <w:tcW w:w="93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一级</w:t>
            </w:r>
          </w:p>
        </w:tc>
        <w:tc>
          <w:tcPr>
            <w:tcW w:w="9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二级</w:t>
            </w:r>
          </w:p>
        </w:tc>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三级</w:t>
            </w:r>
          </w:p>
        </w:tc>
        <w:tc>
          <w:tcPr>
            <w:tcW w:w="8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8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jc w:val="center"/>
        </w:trPr>
        <w:tc>
          <w:tcPr>
            <w:tcW w:w="9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一般区域</w:t>
            </w:r>
          </w:p>
        </w:tc>
        <w:tc>
          <w:tcPr>
            <w:tcW w:w="93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二级</w:t>
            </w:r>
          </w:p>
        </w:tc>
        <w:tc>
          <w:tcPr>
            <w:tcW w:w="9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三级</w:t>
            </w:r>
          </w:p>
        </w:tc>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三级</w:t>
            </w:r>
          </w:p>
        </w:tc>
        <w:tc>
          <w:tcPr>
            <w:tcW w:w="8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8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bl>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2、评价范围</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根据《环境影响评价技术导则》中关于评价范围的划分原则和本工程现场踏勘调查实际情况，确定本评价范围为：管道中心线两侧各 500m，长</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 xml:space="preserve"> 的带状范围</w:t>
      </w:r>
      <w:r>
        <w:rPr>
          <w:rFonts w:hint="eastAsia" w:ascii="Times New Roman" w:hAnsi="Times New Roman" w:cs="Times New Roman"/>
          <w:color w:val="auto"/>
          <w:kern w:val="0"/>
          <w:sz w:val="24"/>
          <w:szCs w:val="24"/>
          <w:lang w:val="en-US" w:eastAsia="zh-CN" w:bidi="ar"/>
        </w:rPr>
        <w:t>。</w:t>
      </w:r>
      <w:r>
        <w:rPr>
          <w:rFonts w:hint="default" w:ascii="Times New Roman" w:hAnsi="Times New Roman" w:eastAsia="宋体" w:cs="Times New Roman"/>
          <w:b/>
          <w:bCs/>
          <w:color w:val="auto"/>
          <w:kern w:val="0"/>
          <w:sz w:val="24"/>
          <w:szCs w:val="24"/>
          <w:lang w:val="en-US" w:eastAsia="zh-CN" w:bidi="ar"/>
        </w:rPr>
        <w:t xml:space="preserve">1.6.2大气环境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1、评价等级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工程分析，本工程运营期正常情况下不对大气环境排放污染物，在非正常生产时有清管作业和分离器检修时经放空装置排放的少量天然气以及系统超压和站场检修时经火炬排放的燃烧废气。根据《环境影响评价技术导则 大气环境》（HJ2.2-2018）：选择正常排放的主要污染物及排放参数，采用估算模式计算各污染物的最大影响程度和最远影响范围，然后按评价工作分级判据进行分级。由于本工程运营期正常情况下不对大气环境排放污染物，因此本次大气环境评价等级定为三级。</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2、评价范围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根据《环境影响评价技术导则 大气环境》（HJ2.2-2018）“5.4 评价范围的确定”大气评价等级为三级的建设项目不需要设置评价范围。</w:t>
      </w:r>
    </w:p>
    <w:p>
      <w:pPr>
        <w:pStyle w:val="6"/>
        <w:bidi w:val="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1.6.3</w:t>
      </w:r>
      <w:r>
        <w:rPr>
          <w:rFonts w:hint="default" w:ascii="Times New Roman" w:hAnsi="Times New Roman" w:eastAsia="宋体" w:cs="Times New Roman"/>
          <w:color w:val="auto"/>
        </w:rPr>
        <w:t>地表水</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施工期管道穿越河流，穿越过程中不向河流排放污水；车辆清洗、混凝土养护、施工机具保洁等废水，经沉淀池沉淀处理后回用于洒水降尘和混凝土养护用水，不外排；生活污水依托附近农户已建化粪池处理后用作农肥；管道试压废水经沉淀处理后就近排入非环境敏感水体。</w:t>
      </w:r>
    </w:p>
    <w:p>
      <w:pPr>
        <w:keepNext w:val="0"/>
        <w:keepLines w:val="0"/>
        <w:widowControl/>
        <w:suppressLineNumbers w:val="0"/>
        <w:jc w:val="left"/>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kern w:val="0"/>
          <w:sz w:val="24"/>
          <w:szCs w:val="24"/>
          <w:lang w:val="en-US" w:eastAsia="zh-CN" w:bidi="ar"/>
        </w:rPr>
        <w:t>运行期站场将产生部分生活污水，其中扩建站生活污水依托原有污水处理设施处理后回用于绿化；新建</w:t>
      </w:r>
      <w:r>
        <w:rPr>
          <w:rFonts w:hint="eastAsia" w:ascii="Times New Roman" w:hAnsi="Times New Roman" w:cs="Times New Roman"/>
          <w:color w:val="auto"/>
          <w:kern w:val="0"/>
          <w:sz w:val="24"/>
          <w:szCs w:val="24"/>
          <w:lang w:val="en-US" w:eastAsia="zh-CN" w:bidi="ar"/>
        </w:rPr>
        <w:t>作业区</w:t>
      </w:r>
      <w:r>
        <w:rPr>
          <w:rFonts w:hint="default" w:ascii="Times New Roman" w:hAnsi="Times New Roman" w:eastAsia="宋体" w:cs="Times New Roman"/>
          <w:color w:val="auto"/>
          <w:kern w:val="0"/>
          <w:sz w:val="24"/>
          <w:szCs w:val="24"/>
          <w:lang w:val="en-US" w:eastAsia="zh-CN" w:bidi="ar"/>
        </w:rPr>
        <w:t>生活污水处理新建生活污水处理装置，处理后的污水</w:t>
      </w:r>
      <w:r>
        <w:rPr>
          <w:rFonts w:hint="eastAsia" w:ascii="Times New Roman" w:hAnsi="Times New Roman" w:cs="Times New Roman"/>
          <w:color w:val="auto"/>
          <w:kern w:val="0"/>
          <w:sz w:val="24"/>
          <w:szCs w:val="24"/>
          <w:lang w:val="en-US" w:eastAsia="zh-CN" w:bidi="ar"/>
        </w:rPr>
        <w:t>进入市政管网</w:t>
      </w:r>
      <w:r>
        <w:rPr>
          <w:rFonts w:hint="default" w:ascii="Times New Roman" w:hAnsi="Times New Roman" w:eastAsia="宋体" w:cs="Times New Roman"/>
          <w:color w:val="auto"/>
          <w:kern w:val="0"/>
          <w:sz w:val="24"/>
          <w:szCs w:val="24"/>
          <w:lang w:val="en-US" w:eastAsia="zh-CN" w:bidi="ar"/>
        </w:rPr>
        <w:t xml:space="preserve">，不外排。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1、评价等级</w:t>
      </w:r>
    </w:p>
    <w:p>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根据《环境影响评价技术导则—地表水环境》（HJ 2.3-2018），本工程为间接排放建设项目</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b/>
          <w:bCs/>
          <w:color w:val="auto"/>
          <w:kern w:val="0"/>
          <w:sz w:val="24"/>
          <w:szCs w:val="24"/>
          <w:lang w:val="en-US" w:eastAsia="zh-CN" w:bidi="ar"/>
        </w:rPr>
        <w:t>地表水影响评价等级定级为三级B</w:t>
      </w:r>
      <w:r>
        <w:rPr>
          <w:rFonts w:hint="default" w:ascii="Times New Roman" w:hAnsi="Times New Roman" w:eastAsia="宋体" w:cs="Times New Roman"/>
          <w:color w:val="auto"/>
          <w:kern w:val="0"/>
          <w:sz w:val="24"/>
          <w:szCs w:val="24"/>
          <w:lang w:val="en-US" w:eastAsia="zh-CN" w:bidi="ar"/>
        </w:rPr>
        <w:t>。</w:t>
      </w:r>
    </w:p>
    <w:p>
      <w:pPr>
        <w:pStyle w:val="12"/>
        <w:keepNext w:val="0"/>
        <w:keepLines w:val="0"/>
        <w:pageBreakBefore w:val="0"/>
        <w:tabs>
          <w:tab w:val="left" w:pos="377"/>
        </w:tabs>
        <w:kinsoku/>
        <w:wordWrap/>
        <w:overflowPunct/>
        <w:topLinePunct w:val="0"/>
        <w:autoSpaceDE/>
        <w:autoSpaceDN/>
        <w:bidi w:val="0"/>
        <w:adjustRightInd/>
        <w:snapToGrid/>
        <w:spacing w:after="0" w:line="480" w:lineRule="exact"/>
        <w:ind w:left="0" w:leftChars="0"/>
        <w:jc w:val="center"/>
        <w:textAlignment w:val="auto"/>
        <w:rPr>
          <w:rFonts w:hint="default" w:ascii="Times New Roman" w:hAnsi="Times New Roman" w:eastAsia="宋体" w:cs="Times New Roman"/>
          <w:b/>
          <w:color w:val="auto"/>
        </w:rPr>
      </w:pPr>
      <w:r>
        <w:rPr>
          <w:rFonts w:hint="default" w:ascii="Times New Roman" w:hAnsi="Times New Roman" w:eastAsia="宋体" w:cs="Times New Roman"/>
          <w:b/>
          <w:color w:val="auto"/>
        </w:rPr>
        <w:t>表</w:t>
      </w:r>
      <w:r>
        <w:rPr>
          <w:rFonts w:hint="default" w:ascii="Times New Roman" w:hAnsi="Times New Roman" w:eastAsia="宋体" w:cs="Times New Roman"/>
          <w:b/>
          <w:color w:val="auto"/>
          <w:lang w:val="en-US" w:eastAsia="zh-CN"/>
        </w:rPr>
        <w:t>1</w:t>
      </w:r>
      <w:r>
        <w:rPr>
          <w:rFonts w:hint="default" w:ascii="Times New Roman" w:hAnsi="Times New Roman" w:eastAsia="宋体" w:cs="Times New Roman"/>
          <w:b/>
          <w:color w:val="auto"/>
        </w:rPr>
        <w:t>.</w:t>
      </w:r>
      <w:r>
        <w:rPr>
          <w:rFonts w:hint="default" w:ascii="Times New Roman" w:hAnsi="Times New Roman" w:eastAsia="宋体" w:cs="Times New Roman"/>
          <w:b/>
          <w:color w:val="auto"/>
          <w:lang w:val="en-US" w:eastAsia="zh-CN"/>
        </w:rPr>
        <w:t>6-2</w:t>
      </w:r>
      <w:r>
        <w:rPr>
          <w:rFonts w:hint="default" w:ascii="Times New Roman" w:hAnsi="Times New Roman" w:eastAsia="宋体" w:cs="Times New Roman"/>
          <w:b/>
          <w:color w:val="auto"/>
        </w:rPr>
        <w:t xml:space="preserve">  水污染物影响型建设项目评价等级判定表</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0"/>
        <w:gridCol w:w="2686"/>
        <w:gridCol w:w="48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10" w:type="dxa"/>
            <w:vMerge w:val="restart"/>
            <w:vAlign w:val="center"/>
          </w:tcPr>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vertAlign w:val="baseline"/>
              </w:rPr>
            </w:pPr>
            <w:r>
              <w:rPr>
                <w:rFonts w:hint="default" w:ascii="Times New Roman" w:hAnsi="Times New Roman" w:eastAsia="宋体" w:cs="Times New Roman"/>
                <w:b/>
                <w:color w:val="auto"/>
                <w:sz w:val="21"/>
                <w:szCs w:val="21"/>
              </w:rPr>
              <w:t>评价等级</w:t>
            </w:r>
          </w:p>
        </w:tc>
        <w:tc>
          <w:tcPr>
            <w:tcW w:w="7564" w:type="dxa"/>
            <w:gridSpan w:val="2"/>
            <w:vAlign w:val="center"/>
          </w:tcPr>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vertAlign w:val="baseline"/>
              </w:rPr>
            </w:pPr>
            <w:r>
              <w:rPr>
                <w:rFonts w:hint="default" w:ascii="Times New Roman" w:hAnsi="Times New Roman" w:eastAsia="宋体" w:cs="Times New Roman"/>
                <w:b/>
                <w:color w:val="auto"/>
                <w:sz w:val="21"/>
                <w:szCs w:val="21"/>
              </w:rPr>
              <w:t>判断依据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1610" w:type="dxa"/>
            <w:vMerge w:val="continue"/>
            <w:vAlign w:val="center"/>
          </w:tcPr>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vertAlign w:val="baseline"/>
              </w:rPr>
            </w:pPr>
          </w:p>
        </w:tc>
        <w:tc>
          <w:tcPr>
            <w:tcW w:w="2686" w:type="dxa"/>
            <w:vAlign w:val="center"/>
          </w:tcPr>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vertAlign w:val="baseline"/>
              </w:rPr>
            </w:pPr>
            <w:r>
              <w:rPr>
                <w:rFonts w:hint="default" w:ascii="Times New Roman" w:hAnsi="Times New Roman" w:eastAsia="宋体" w:cs="Times New Roman"/>
                <w:b/>
                <w:color w:val="auto"/>
                <w:sz w:val="21"/>
                <w:szCs w:val="21"/>
              </w:rPr>
              <w:t>排放方式</w:t>
            </w:r>
          </w:p>
        </w:tc>
        <w:tc>
          <w:tcPr>
            <w:tcW w:w="4878"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废水排放量Q/（m</w:t>
            </w:r>
            <w:r>
              <w:rPr>
                <w:rFonts w:hint="default" w:ascii="Times New Roman" w:hAnsi="Times New Roman" w:eastAsia="宋体" w:cs="Times New Roman"/>
                <w:b/>
                <w:color w:val="auto"/>
                <w:sz w:val="21"/>
                <w:szCs w:val="21"/>
                <w:vertAlign w:val="superscript"/>
              </w:rPr>
              <w:t>3</w:t>
            </w:r>
            <w:r>
              <w:rPr>
                <w:rFonts w:hint="default" w:ascii="Times New Roman" w:hAnsi="Times New Roman" w:eastAsia="宋体" w:cs="Times New Roman"/>
                <w:b/>
                <w:color w:val="auto"/>
                <w:sz w:val="21"/>
                <w:szCs w:val="21"/>
              </w:rPr>
              <w:t>/d）</w:t>
            </w:r>
          </w:p>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vertAlign w:val="baseline"/>
              </w:rPr>
            </w:pPr>
            <w:r>
              <w:rPr>
                <w:rFonts w:hint="default" w:ascii="Times New Roman" w:hAnsi="Times New Roman" w:eastAsia="宋体" w:cs="Times New Roman"/>
                <w:b/>
                <w:color w:val="auto"/>
                <w:sz w:val="21"/>
                <w:szCs w:val="21"/>
              </w:rPr>
              <w:t>水污染物当量数W/（无量纲）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10"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一级</w:t>
            </w:r>
          </w:p>
        </w:tc>
        <w:tc>
          <w:tcPr>
            <w:tcW w:w="2686"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直接排放</w:t>
            </w:r>
          </w:p>
        </w:tc>
        <w:tc>
          <w:tcPr>
            <w:tcW w:w="4878"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Q≥20000 或 W≥600000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10"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二级</w:t>
            </w:r>
          </w:p>
        </w:tc>
        <w:tc>
          <w:tcPr>
            <w:tcW w:w="2686"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直接排放</w:t>
            </w:r>
          </w:p>
        </w:tc>
        <w:tc>
          <w:tcPr>
            <w:tcW w:w="4878"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1610"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三级A</w:t>
            </w:r>
          </w:p>
        </w:tc>
        <w:tc>
          <w:tcPr>
            <w:tcW w:w="2686"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直接排放</w:t>
            </w:r>
          </w:p>
        </w:tc>
        <w:tc>
          <w:tcPr>
            <w:tcW w:w="4878"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Q&lt;200 或 W&lt;6000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10"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三级B</w:t>
            </w:r>
          </w:p>
        </w:tc>
        <w:tc>
          <w:tcPr>
            <w:tcW w:w="2686"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间接排放</w:t>
            </w:r>
          </w:p>
        </w:tc>
        <w:tc>
          <w:tcPr>
            <w:tcW w:w="4878"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r>
    </w:tbl>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2、评价范围</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根据《环境影响评价技术导则—地表水环境》（HJ 2.3-2018），三级B评价范围应符合以下要求：</w:t>
      </w:r>
    </w:p>
    <w:p>
      <w:pPr>
        <w:keepNext w:val="0"/>
        <w:keepLines w:val="0"/>
        <w:pageBreakBefore w:val="0"/>
        <w:widowControl/>
        <w:suppressLineNumbers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a）应满足其依托污水处理设施环境可行性分析的要求。</w:t>
      </w:r>
    </w:p>
    <w:p>
      <w:pPr>
        <w:keepNext w:val="0"/>
        <w:keepLines w:val="0"/>
        <w:pageBreakBefore w:val="0"/>
        <w:widowControl/>
        <w:suppressLineNumbers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sz w:val="24"/>
          <w:szCs w:val="24"/>
          <w:lang w:val="en-US" w:eastAsia="zh-CN"/>
        </w:rPr>
        <w:t>b）涉及地表水环境风险的，应覆盖环境风险影响范围所及的水环境保护目标水域。</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普通河流评价范围：穿越处上游 500 m至下游 1000m 的水域；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有饮用水功能的东河价范围：穿越处饮用水源取水口至下游2000m 范围内的水域。</w:t>
      </w:r>
    </w:p>
    <w:p>
      <w:pPr>
        <w:pStyle w:val="6"/>
        <w:bidi w:val="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4</w:t>
      </w:r>
      <w:r>
        <w:rPr>
          <w:rFonts w:hint="default" w:ascii="Times New Roman" w:hAnsi="Times New Roman" w:eastAsia="宋体" w:cs="Times New Roman"/>
          <w:color w:val="auto"/>
        </w:rPr>
        <w:t>地下水</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1、评价等级</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rPr>
        <w:t>根据《环境影响评价技术导则</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地下水环境》（HJ610-2016）附录A，</w:t>
      </w:r>
      <w:r>
        <w:rPr>
          <w:rFonts w:hint="default" w:ascii="Times New Roman" w:hAnsi="Times New Roman" w:eastAsia="宋体" w:cs="Times New Roman"/>
          <w:color w:val="auto"/>
          <w:lang w:eastAsia="zh-CN"/>
        </w:rPr>
        <w:t>本工程</w:t>
      </w:r>
      <w:r>
        <w:rPr>
          <w:rFonts w:hint="default" w:ascii="Times New Roman" w:hAnsi="Times New Roman" w:eastAsia="宋体" w:cs="Times New Roman"/>
          <w:color w:val="auto"/>
        </w:rPr>
        <w:t>属于“</w:t>
      </w:r>
      <w:r>
        <w:rPr>
          <w:rFonts w:hint="default" w:ascii="Times New Roman" w:hAnsi="Times New Roman" w:eastAsia="宋体" w:cs="Times New Roman"/>
          <w:color w:val="auto"/>
          <w:lang w:val="en-US" w:eastAsia="zh-CN"/>
        </w:rPr>
        <w:t>F 石油、天然气</w:t>
      </w:r>
      <w:r>
        <w:rPr>
          <w:rFonts w:hint="default" w:ascii="Times New Roman" w:hAnsi="Times New Roman" w:eastAsia="宋体" w:cs="Times New Roman"/>
          <w:color w:val="auto"/>
        </w:rPr>
        <w:t>”中的“</w:t>
      </w:r>
      <w:r>
        <w:rPr>
          <w:rFonts w:hint="default" w:ascii="Times New Roman" w:hAnsi="Times New Roman" w:eastAsia="宋体" w:cs="Times New Roman"/>
          <w:color w:val="auto"/>
          <w:lang w:val="en-US" w:eastAsia="zh-CN"/>
        </w:rPr>
        <w:t>41、石油、天然气、成品油管线（不含城市天然气管线）</w:t>
      </w:r>
      <w:r>
        <w:rPr>
          <w:rFonts w:hint="default" w:ascii="Times New Roman" w:hAnsi="Times New Roman" w:eastAsia="宋体" w:cs="Times New Roman"/>
          <w:color w:val="auto"/>
        </w:rPr>
        <w:t>”</w:t>
      </w:r>
      <w:r>
        <w:rPr>
          <w:rFonts w:hint="default" w:ascii="Times New Roman" w:hAnsi="Times New Roman" w:eastAsia="宋体" w:cs="Times New Roman"/>
          <w:color w:val="auto"/>
          <w:lang w:eastAsia="zh-CN"/>
        </w:rPr>
        <w:t>（报告书）</w:t>
      </w:r>
      <w:r>
        <w:rPr>
          <w:rFonts w:hint="default" w:ascii="Times New Roman" w:hAnsi="Times New Roman" w:eastAsia="宋体" w:cs="Times New Roman"/>
          <w:color w:val="auto"/>
        </w:rPr>
        <w:t>，地下水环境影响评价项目类别为“III类”。</w:t>
      </w:r>
      <w:r>
        <w:rPr>
          <w:rFonts w:hint="default" w:ascii="Times New Roman" w:hAnsi="Times New Roman" w:eastAsia="宋体" w:cs="Times New Roman"/>
          <w:color w:val="auto"/>
          <w:kern w:val="0"/>
          <w:sz w:val="24"/>
          <w:szCs w:val="24"/>
          <w:lang w:val="en-US" w:eastAsia="zh-CN" w:bidi="ar"/>
        </w:rPr>
        <w:t>本工程所在地为苍溪县，不属于集中式饮用水源的准保护区及其补给径流区，不属于特殊地下水资源保护区等地下水环境敏感区，周边居民饮用水源为城市自来水，未开采地下水</w:t>
      </w:r>
      <w:r>
        <w:rPr>
          <w:rFonts w:hint="eastAsia" w:ascii="Times New Roman" w:hAnsi="Times New Roman" w:cs="Times New Roman"/>
          <w:color w:val="auto"/>
          <w:kern w:val="0"/>
          <w:sz w:val="24"/>
          <w:szCs w:val="24"/>
          <w:lang w:val="en-US" w:eastAsia="zh-CN" w:bidi="ar"/>
        </w:rPr>
        <w:t>，部分老式水井未封堵，居民偶尔取用，视为分散式饮用水水源</w:t>
      </w:r>
      <w:r>
        <w:rPr>
          <w:rFonts w:hint="default" w:ascii="Times New Roman" w:hAnsi="Times New Roman" w:eastAsia="宋体" w:cs="Times New Roman"/>
          <w:color w:val="auto"/>
          <w:kern w:val="0"/>
          <w:sz w:val="24"/>
          <w:szCs w:val="24"/>
          <w:lang w:val="en-US" w:eastAsia="zh-CN" w:bidi="ar"/>
        </w:rPr>
        <w:t>。因此其地下水环境敏感特征为</w:t>
      </w:r>
      <w:r>
        <w:rPr>
          <w:rFonts w:hint="eastAsia" w:ascii="Times New Roman" w:hAnsi="Times New Roman" w:cs="Times New Roman"/>
          <w:color w:val="auto"/>
          <w:kern w:val="0"/>
          <w:sz w:val="24"/>
          <w:szCs w:val="24"/>
          <w:lang w:val="en-US" w:eastAsia="zh-CN" w:bidi="ar"/>
        </w:rPr>
        <w:t>较</w:t>
      </w:r>
      <w:r>
        <w:rPr>
          <w:rFonts w:hint="default" w:ascii="Times New Roman" w:hAnsi="Times New Roman" w:eastAsia="宋体" w:cs="Times New Roman"/>
          <w:color w:val="auto"/>
          <w:kern w:val="0"/>
          <w:sz w:val="24"/>
          <w:szCs w:val="24"/>
          <w:lang w:val="en-US" w:eastAsia="zh-CN" w:bidi="ar"/>
        </w:rPr>
        <w:t>敏感。综上所述，本工程属于III类项目，位于地下水环境</w:t>
      </w:r>
      <w:r>
        <w:rPr>
          <w:rFonts w:hint="eastAsia" w:ascii="Times New Roman" w:hAnsi="Times New Roman" w:cs="Times New Roman"/>
          <w:color w:val="auto"/>
          <w:kern w:val="0"/>
          <w:sz w:val="24"/>
          <w:szCs w:val="24"/>
          <w:lang w:val="en-US" w:eastAsia="zh-CN" w:bidi="ar"/>
        </w:rPr>
        <w:t>较</w:t>
      </w:r>
      <w:r>
        <w:rPr>
          <w:rFonts w:hint="default" w:ascii="Times New Roman" w:hAnsi="Times New Roman" w:eastAsia="宋体" w:cs="Times New Roman"/>
          <w:color w:val="auto"/>
          <w:kern w:val="0"/>
          <w:sz w:val="24"/>
          <w:szCs w:val="24"/>
          <w:lang w:val="en-US" w:eastAsia="zh-CN" w:bidi="ar"/>
        </w:rPr>
        <w:t>敏感区域，根据导则中的评价工作等级分级表，确定</w:t>
      </w:r>
      <w:r>
        <w:rPr>
          <w:rFonts w:hint="default" w:ascii="Times New Roman" w:hAnsi="Times New Roman" w:eastAsia="宋体" w:cs="Times New Roman"/>
          <w:b/>
          <w:bCs/>
          <w:color w:val="auto"/>
          <w:kern w:val="0"/>
          <w:sz w:val="24"/>
          <w:szCs w:val="24"/>
          <w:lang w:val="en-US" w:eastAsia="zh-CN" w:bidi="ar"/>
        </w:rPr>
        <w:t>本工程地下水评价等级为三级。</w:t>
      </w:r>
    </w:p>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b/>
          <w:color w:val="auto"/>
          <w:kern w:val="0"/>
          <w:sz w:val="24"/>
          <w:szCs w:val="24"/>
          <w:lang w:val="en-US" w:eastAsia="zh-CN" w:bidi="ar"/>
        </w:rPr>
        <w:t>表1.6-3  地下水环境敏感程度分级表</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5"/>
        <w:gridCol w:w="73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775" w:type="dxa"/>
            <w:vAlign w:val="center"/>
          </w:tcPr>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敏感程度</w:t>
            </w:r>
          </w:p>
        </w:tc>
        <w:tc>
          <w:tcPr>
            <w:tcW w:w="7399" w:type="dxa"/>
            <w:vAlign w:val="center"/>
          </w:tcPr>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地下水环境敏感特征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775" w:type="dxa"/>
            <w:vAlign w:val="center"/>
          </w:tcPr>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敏感</w:t>
            </w:r>
          </w:p>
        </w:tc>
        <w:tc>
          <w:tcPr>
            <w:tcW w:w="7399" w:type="dxa"/>
            <w:vAlign w:val="center"/>
          </w:tcPr>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集中式饮用水水源（包括已建成的在用、备用、应急水源，在建和规划的</w:t>
            </w:r>
          </w:p>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饮用水水源）准保护区；除集中式饮用水水源以外的国家或地方政府设定</w:t>
            </w:r>
          </w:p>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的与地下水环境相关的其它保护区，如热水、矿泉水、温泉等特殊地下水</w:t>
            </w:r>
          </w:p>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资源保护区。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775" w:type="dxa"/>
            <w:vAlign w:val="center"/>
          </w:tcPr>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较敏感</w:t>
            </w:r>
          </w:p>
        </w:tc>
        <w:tc>
          <w:tcPr>
            <w:tcW w:w="7399" w:type="dxa"/>
            <w:vAlign w:val="center"/>
          </w:tcPr>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集中式饮用水水源（包括已建成的在用、备用、应急水源，在建和规划的</w:t>
            </w:r>
          </w:p>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饮用水水源）准保护区以外的补给径流区；未划定准保护区的集中水式饮</w:t>
            </w:r>
          </w:p>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用水水源，其保护区以外的补给径流区；分散式饮用水水源地；特殊地下</w:t>
            </w:r>
          </w:p>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水资源（如矿泉水、温泉等）保护区以外的分布区等其他未列入上述敏感</w:t>
            </w:r>
          </w:p>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分级的环境敏感区。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775" w:type="dxa"/>
            <w:vAlign w:val="center"/>
          </w:tcPr>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不敏感</w:t>
            </w:r>
          </w:p>
        </w:tc>
        <w:tc>
          <w:tcPr>
            <w:tcW w:w="7399" w:type="dxa"/>
            <w:vAlign w:val="center"/>
          </w:tcPr>
          <w:p>
            <w:pPr>
              <w:pStyle w:val="29"/>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上述地区之外的其它地区。</w:t>
            </w:r>
          </w:p>
        </w:tc>
      </w:tr>
    </w:tbl>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eastAsia="zh-CN"/>
        </w:rPr>
        <w:t>表</w:t>
      </w:r>
      <w:r>
        <w:rPr>
          <w:rFonts w:hint="default" w:ascii="Times New Roman" w:hAnsi="Times New Roman" w:eastAsia="宋体" w:cs="Times New Roman"/>
          <w:b/>
          <w:bCs/>
          <w:color w:val="auto"/>
          <w:lang w:val="en-US" w:eastAsia="zh-CN"/>
        </w:rPr>
        <w:t>1.6-4  本工程地下水等级分级表</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3"/>
        <w:gridCol w:w="2293"/>
        <w:gridCol w:w="2294"/>
        <w:gridCol w:w="2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2293" w:type="dxa"/>
            <w:vAlign w:val="center"/>
            <mc:AlternateContent>
              <mc:Choice Requires="wpsCustomData">
                <wpsCustomData:diagonals>
                  <wpsCustomData:diagonal from="10000" to="30000">
                    <wpsCustomData:border w:val="single" w:color="auto" w:sz="4" w:space="0"/>
                  </wpsCustomData:diagonal>
                </wpsCustomData:diagonals>
              </mc:Choice>
            </mc:AlternateContent>
          </w:tcPr>
          <w:p>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mc:AlternateContent>
                <mc:Choice Requires="wpsCustomData">
                  <wpsCustomData:diagonalParaType/>
                </mc:Choice>
              </mc:AlternateContent>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环境敏感程度</w:t>
            </w:r>
          </w:p>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建设项目类别</w:t>
            </w:r>
          </w:p>
        </w:tc>
        <w:tc>
          <w:tcPr>
            <w:tcW w:w="2293" w:type="dxa"/>
            <w:vAlign w:val="center"/>
          </w:tcPr>
          <w:p>
            <w:pPr>
              <w:keepNext w:val="0"/>
              <w:keepLines w:val="0"/>
              <w:widowControl/>
              <w:suppressLineNumbers w:val="0"/>
              <w:jc w:val="left"/>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I 类项目</w:t>
            </w:r>
          </w:p>
        </w:tc>
        <w:tc>
          <w:tcPr>
            <w:tcW w:w="2294" w:type="dxa"/>
            <w:vAlign w:val="center"/>
          </w:tcPr>
          <w:p>
            <w:pPr>
              <w:keepNext w:val="0"/>
              <w:keepLines w:val="0"/>
              <w:widowControl/>
              <w:suppressLineNumbers w:val="0"/>
              <w:jc w:val="left"/>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II 类项目</w:t>
            </w:r>
          </w:p>
        </w:tc>
        <w:tc>
          <w:tcPr>
            <w:tcW w:w="2294" w:type="dxa"/>
            <w:vAlign w:val="center"/>
          </w:tcPr>
          <w:p>
            <w:pPr>
              <w:keepNext w:val="0"/>
              <w:keepLines w:val="0"/>
              <w:widowControl/>
              <w:suppressLineNumbers w:val="0"/>
              <w:jc w:val="left"/>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III 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293" w:type="dxa"/>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敏感</w:t>
            </w:r>
          </w:p>
        </w:tc>
        <w:tc>
          <w:tcPr>
            <w:tcW w:w="2293" w:type="dxa"/>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一</w:t>
            </w:r>
          </w:p>
        </w:tc>
        <w:tc>
          <w:tcPr>
            <w:tcW w:w="2294" w:type="dxa"/>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一</w:t>
            </w:r>
          </w:p>
        </w:tc>
        <w:tc>
          <w:tcPr>
            <w:tcW w:w="2294" w:type="dxa"/>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293" w:type="dxa"/>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较敏感</w:t>
            </w:r>
          </w:p>
        </w:tc>
        <w:tc>
          <w:tcPr>
            <w:tcW w:w="2293" w:type="dxa"/>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二</w:t>
            </w:r>
          </w:p>
        </w:tc>
        <w:tc>
          <w:tcPr>
            <w:tcW w:w="2294" w:type="dxa"/>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二</w:t>
            </w:r>
          </w:p>
        </w:tc>
        <w:tc>
          <w:tcPr>
            <w:tcW w:w="2294" w:type="dxa"/>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293" w:type="dxa"/>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不敏感</w:t>
            </w:r>
          </w:p>
        </w:tc>
        <w:tc>
          <w:tcPr>
            <w:tcW w:w="2293" w:type="dxa"/>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二</w:t>
            </w:r>
          </w:p>
        </w:tc>
        <w:tc>
          <w:tcPr>
            <w:tcW w:w="2294" w:type="dxa"/>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三</w:t>
            </w:r>
          </w:p>
        </w:tc>
        <w:tc>
          <w:tcPr>
            <w:tcW w:w="2294" w:type="dxa"/>
            <w:vAlign w:val="center"/>
          </w:tcPr>
          <w:p>
            <w:pPr>
              <w:pStyle w:val="2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三</w:t>
            </w:r>
          </w:p>
        </w:tc>
      </w:tr>
    </w:tbl>
    <w:p>
      <w:pPr>
        <w:keepNext w:val="0"/>
        <w:keepLines w:val="0"/>
        <w:widowControl/>
        <w:numPr>
          <w:ilvl w:val="0"/>
          <w:numId w:val="2"/>
        </w:numPr>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评价范围</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管段评价范围为管道中心线两侧 200m；场站评价范围为场站周边 6km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vertAlign w:val="baseline"/>
          <w:lang w:val="en-US" w:eastAsia="zh-CN" w:bidi="ar"/>
        </w:rPr>
        <w:t>。</w:t>
      </w:r>
      <w:r>
        <w:rPr>
          <w:rFonts w:hint="default" w:ascii="Times New Roman" w:hAnsi="Times New Roman" w:eastAsia="宋体" w:cs="Times New Roman"/>
          <w:color w:val="auto"/>
          <w:kern w:val="0"/>
          <w:sz w:val="24"/>
          <w:szCs w:val="24"/>
          <w:lang w:val="en-US" w:eastAsia="zh-CN" w:bidi="ar"/>
        </w:rPr>
        <w:t xml:space="preserve"> </w:t>
      </w:r>
    </w:p>
    <w:p>
      <w:pPr>
        <w:pStyle w:val="6"/>
        <w:rPr>
          <w:rFonts w:hint="default" w:ascii="Times New Roman" w:hAnsi="Times New Roman" w:eastAsia="宋体" w:cs="Times New Roman"/>
          <w:color w:val="auto"/>
          <w:szCs w:val="24"/>
          <w:highlight w:val="none"/>
          <w:lang w:eastAsia="zh-CN"/>
        </w:rPr>
      </w:pPr>
      <w:r>
        <w:rPr>
          <w:rFonts w:hint="default" w:ascii="Times New Roman" w:hAnsi="Times New Roman" w:eastAsia="宋体" w:cs="Times New Roman"/>
          <w:color w:val="auto"/>
          <w:szCs w:val="24"/>
          <w:highlight w:val="none"/>
          <w:lang w:val="en-US" w:eastAsia="zh-CN"/>
        </w:rPr>
        <w:t>1</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val="en-US" w:eastAsia="zh-CN"/>
        </w:rPr>
        <w:t>6.5</w:t>
      </w:r>
      <w:r>
        <w:rPr>
          <w:rFonts w:hint="default" w:ascii="Times New Roman" w:hAnsi="Times New Roman" w:eastAsia="宋体" w:cs="Times New Roman"/>
          <w:color w:val="auto"/>
          <w:szCs w:val="24"/>
          <w:highlight w:val="none"/>
          <w:lang w:eastAsia="zh-CN"/>
        </w:rPr>
        <w:t>声环境</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1、评价等级</w:t>
      </w:r>
    </w:p>
    <w:p>
      <w:pPr>
        <w:keepNext w:val="0"/>
        <w:keepLines w:val="0"/>
        <w:widowControl/>
        <w:suppressLineNumbers w:val="0"/>
        <w:jc w:val="left"/>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本工程</w:t>
      </w:r>
      <w:r>
        <w:rPr>
          <w:rFonts w:hint="default" w:ascii="Times New Roman" w:hAnsi="Times New Roman" w:eastAsia="宋体" w:cs="Times New Roman"/>
          <w:color w:val="auto"/>
          <w:sz w:val="24"/>
          <w:szCs w:val="24"/>
        </w:rPr>
        <w:t>属于《声环境质量标准》（GB3096-2008）规定的</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类区；</w:t>
      </w:r>
      <w:r>
        <w:rPr>
          <w:rFonts w:hint="default" w:ascii="Times New Roman" w:hAnsi="Times New Roman" w:eastAsia="宋体" w:cs="Times New Roman"/>
          <w:color w:val="auto"/>
          <w:sz w:val="24"/>
          <w:szCs w:val="24"/>
          <w:lang w:eastAsia="zh-CN"/>
        </w:rPr>
        <w:t>项目建成后为地下输气管道</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新建战场为检修值班，无人长期驻守，因此区域噪声级增量甚小，</w:t>
      </w:r>
      <w:r>
        <w:rPr>
          <w:rFonts w:hint="default" w:ascii="Times New Roman" w:hAnsi="Times New Roman" w:eastAsia="宋体" w:cs="Times New Roman"/>
          <w:color w:val="auto"/>
          <w:sz w:val="24"/>
          <w:szCs w:val="24"/>
        </w:rPr>
        <w:t>区域的声环境质量变化程度较小，不超过3dB(A)；受建设项目产生噪声影响的人数较少。按照《环境影响评价技术导则</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声环境》（HJ2.4-2009）中的有关规定，</w:t>
      </w:r>
      <w:r>
        <w:rPr>
          <w:rFonts w:hint="default" w:ascii="Times New Roman" w:hAnsi="Times New Roman" w:eastAsia="宋体" w:cs="Times New Roman"/>
          <w:b/>
          <w:bCs/>
          <w:color w:val="auto"/>
          <w:sz w:val="24"/>
          <w:szCs w:val="24"/>
        </w:rPr>
        <w:t>确定</w:t>
      </w:r>
      <w:r>
        <w:rPr>
          <w:rFonts w:hint="default" w:ascii="Times New Roman" w:hAnsi="Times New Roman" w:eastAsia="宋体" w:cs="Times New Roman"/>
          <w:b/>
          <w:bCs/>
          <w:color w:val="auto"/>
          <w:sz w:val="24"/>
          <w:szCs w:val="24"/>
          <w:lang w:eastAsia="zh-CN"/>
        </w:rPr>
        <w:t>本工程</w:t>
      </w:r>
      <w:r>
        <w:rPr>
          <w:rFonts w:hint="default" w:ascii="Times New Roman" w:hAnsi="Times New Roman" w:eastAsia="宋体" w:cs="Times New Roman"/>
          <w:b/>
          <w:bCs/>
          <w:color w:val="auto"/>
          <w:sz w:val="24"/>
          <w:szCs w:val="24"/>
        </w:rPr>
        <w:t>声环境评价等级为</w:t>
      </w:r>
      <w:r>
        <w:rPr>
          <w:rFonts w:hint="default" w:ascii="Times New Roman" w:hAnsi="Times New Roman" w:eastAsia="宋体" w:cs="Times New Roman"/>
          <w:b/>
          <w:bCs/>
          <w:color w:val="auto"/>
          <w:sz w:val="24"/>
          <w:szCs w:val="24"/>
          <w:lang w:eastAsia="zh-CN"/>
        </w:rPr>
        <w:t>二级</w:t>
      </w:r>
      <w:r>
        <w:rPr>
          <w:rFonts w:hint="default" w:ascii="Times New Roman" w:hAnsi="Times New Roman" w:eastAsia="宋体" w:cs="Times New Roman"/>
          <w:color w:val="auto"/>
          <w:sz w:val="24"/>
          <w:szCs w:val="24"/>
          <w:lang w:eastAsia="zh-CN"/>
        </w:rPr>
        <w:t>。</w:t>
      </w:r>
    </w:p>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eastAsia="zh-CN"/>
        </w:rPr>
        <w:t>表</w:t>
      </w:r>
      <w:r>
        <w:rPr>
          <w:rFonts w:hint="default" w:ascii="Times New Roman" w:hAnsi="Times New Roman" w:eastAsia="宋体" w:cs="Times New Roman"/>
          <w:b/>
          <w:bCs/>
          <w:color w:val="auto"/>
          <w:sz w:val="24"/>
          <w:szCs w:val="24"/>
          <w:lang w:val="en-US" w:eastAsia="zh-CN"/>
        </w:rPr>
        <w:t>1.6-5  项目声环境影响情况</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3"/>
        <w:gridCol w:w="2372"/>
        <w:gridCol w:w="5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53" w:type="dxa"/>
            <w:vAlign w:val="center"/>
          </w:tcPr>
          <w:p>
            <w:pPr>
              <w:pStyle w:val="2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序号</w:t>
            </w:r>
          </w:p>
        </w:tc>
        <w:tc>
          <w:tcPr>
            <w:tcW w:w="2372" w:type="dxa"/>
            <w:vAlign w:val="center"/>
          </w:tcPr>
          <w:p>
            <w:pPr>
              <w:pStyle w:val="2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分析类别</w:t>
            </w:r>
          </w:p>
        </w:tc>
        <w:tc>
          <w:tcPr>
            <w:tcW w:w="5549" w:type="dxa"/>
            <w:vAlign w:val="center"/>
          </w:tcPr>
          <w:p>
            <w:pPr>
              <w:pStyle w:val="2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项目声环境影响情况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53" w:type="dxa"/>
            <w:vAlign w:val="center"/>
          </w:tcPr>
          <w:p>
            <w:pPr>
              <w:pStyle w:val="2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2372" w:type="dxa"/>
            <w:vAlign w:val="center"/>
          </w:tcPr>
          <w:p>
            <w:pPr>
              <w:pStyle w:val="2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适用区域</w:t>
            </w:r>
          </w:p>
        </w:tc>
        <w:tc>
          <w:tcPr>
            <w:tcW w:w="5549" w:type="dxa"/>
            <w:vAlign w:val="center"/>
          </w:tcPr>
          <w:p>
            <w:pPr>
              <w:pStyle w:val="2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GB3096 规定的2类区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1253" w:type="dxa"/>
            <w:vAlign w:val="center"/>
          </w:tcPr>
          <w:p>
            <w:pPr>
              <w:pStyle w:val="2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2372" w:type="dxa"/>
            <w:vAlign w:val="center"/>
          </w:tcPr>
          <w:p>
            <w:pPr>
              <w:pStyle w:val="2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建设后噪声增加值</w:t>
            </w:r>
          </w:p>
        </w:tc>
        <w:tc>
          <w:tcPr>
            <w:tcW w:w="5549" w:type="dxa"/>
            <w:vAlign w:val="center"/>
          </w:tcPr>
          <w:p>
            <w:pPr>
              <w:pStyle w:val="2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项目建设后评价范围内声环境敏感目标噪声级增高量在</w:t>
            </w:r>
          </w:p>
          <w:p>
            <w:pPr>
              <w:pStyle w:val="2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3dB(A)以下（不含 3dB(A)）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1253" w:type="dxa"/>
            <w:vAlign w:val="center"/>
          </w:tcPr>
          <w:p>
            <w:pPr>
              <w:pStyle w:val="2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2372" w:type="dxa"/>
            <w:vAlign w:val="center"/>
          </w:tcPr>
          <w:p>
            <w:pPr>
              <w:pStyle w:val="2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受影响人口</w:t>
            </w:r>
          </w:p>
        </w:tc>
        <w:tc>
          <w:tcPr>
            <w:tcW w:w="5549" w:type="dxa"/>
            <w:vAlign w:val="center"/>
          </w:tcPr>
          <w:p>
            <w:pPr>
              <w:pStyle w:val="2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受影响人口数量无变化</w:t>
            </w:r>
          </w:p>
        </w:tc>
      </w:tr>
    </w:tbl>
    <w:p>
      <w:pPr>
        <w:keepNext w:val="0"/>
        <w:keepLines w:val="0"/>
        <w:widowControl/>
        <w:numPr>
          <w:ilvl w:val="0"/>
          <w:numId w:val="0"/>
        </w:numPr>
        <w:suppressLineNumbers w:val="0"/>
        <w:ind w:leftChars="20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2、评价范围</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施工期声环境评价范围为管道中心线两侧各 200m 范围；运行期声环境评价范围为各站场厂界外 200m 范围。 </w:t>
      </w:r>
    </w:p>
    <w:p>
      <w:pPr>
        <w:pStyle w:val="6"/>
        <w:rPr>
          <w:rFonts w:hint="default" w:ascii="Times New Roman" w:hAnsi="Times New Roman" w:eastAsia="宋体" w:cs="Times New Roman"/>
          <w:color w:val="auto"/>
          <w:szCs w:val="24"/>
        </w:rPr>
      </w:pPr>
      <w:r>
        <w:rPr>
          <w:rFonts w:hint="default" w:ascii="Times New Roman" w:hAnsi="Times New Roman" w:eastAsia="宋体" w:cs="Times New Roman"/>
          <w:color w:val="auto"/>
          <w:sz w:val="24"/>
          <w:lang w:val="en-US" w:eastAsia="zh-CN"/>
        </w:rPr>
        <w:t>1.6.6</w:t>
      </w:r>
      <w:r>
        <w:rPr>
          <w:rFonts w:hint="default" w:ascii="Times New Roman" w:hAnsi="Times New Roman" w:eastAsia="宋体" w:cs="Times New Roman"/>
          <w:color w:val="auto"/>
          <w:szCs w:val="24"/>
        </w:rPr>
        <w:t>土壤环境</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根据《环境影响评价技术导则土壤环境（试行）》（HJ964-2018）中附录A相关规定，</w:t>
      </w:r>
      <w:r>
        <w:rPr>
          <w:rFonts w:hint="default" w:ascii="Times New Roman" w:hAnsi="Times New Roman" w:eastAsia="宋体" w:cs="Times New Roman"/>
          <w:color w:val="auto"/>
          <w:lang w:eastAsia="zh-CN"/>
        </w:rPr>
        <w:t>本工程</w:t>
      </w:r>
      <w:r>
        <w:rPr>
          <w:rFonts w:hint="default" w:ascii="Times New Roman" w:hAnsi="Times New Roman" w:eastAsia="宋体" w:cs="Times New Roman"/>
          <w:color w:val="auto"/>
        </w:rPr>
        <w:t>属于《环境影响评价技术导则 土壤环境（试行）》（HJ 964-2018）表A.1“</w:t>
      </w:r>
      <w:r>
        <w:rPr>
          <w:rFonts w:hint="default" w:ascii="Times New Roman" w:hAnsi="Times New Roman" w:eastAsia="宋体" w:cs="Times New Roman"/>
          <w:color w:val="auto"/>
          <w:lang w:eastAsia="zh-CN"/>
        </w:rPr>
        <w:t>交通运输仓储邮政业”中“其他”</w:t>
      </w:r>
      <w:r>
        <w:rPr>
          <w:rFonts w:hint="default" w:ascii="Times New Roman" w:hAnsi="Times New Roman" w:eastAsia="宋体" w:cs="Times New Roman"/>
          <w:color w:val="auto"/>
        </w:rPr>
        <w:t>建设项目，属IV类项目，因此，可不开展土壤环境影响评价工作。</w:t>
      </w:r>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1.6.7风险评价</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1、评级等级</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建设项目环境风险评价技术导则》（HJ/169-2018），环境风险评价工作等级划分为一级、二级、三级。根据建设项目涉及的物质及工艺系统危险性和所在地的环境敏感性确定环境风险潜势，按照表1确定评价工作等级。风险潜势为Ⅳ及以上，进行一级评价；风险潜势为Ⅲ，进行二级评价；风险潜势为Ⅱ，进行三级评价；风险潜势为Ⅰ，可开展简单分析。</w:t>
      </w:r>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1） 危险物质及工艺系统危险性（P）分级根据《建设项目环境风险评价技术导则》(HJ/T169-2018)，危险物质及工艺系统危害性（P）应根据危险物质数量与临界量的比值（Q）和行业及生产工艺（M）确定。 </w:t>
      </w:r>
    </w:p>
    <w:p>
      <w:pPr>
        <w:spacing w:line="360" w:lineRule="auto"/>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（1）Q 值的确定 </w:t>
      </w:r>
    </w:p>
    <w:p>
      <w:pPr>
        <w:spacing w:line="360" w:lineRule="auto"/>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根据《建设项目环境风险评价技术导则》（HJ/T169-2018）附录 C，本工程 Q 值确定见表 </w:t>
      </w:r>
    </w:p>
    <w:p>
      <w:pPr>
        <w:tabs>
          <w:tab w:val="left" w:pos="377"/>
        </w:tabs>
        <w:spacing w:line="360" w:lineRule="exact"/>
        <w:ind w:firstLine="354" w:firstLineChars="147"/>
        <w:jc w:val="center"/>
        <w:rPr>
          <w:rFonts w:hint="default" w:ascii="Times New Roman" w:hAnsi="Times New Roman" w:eastAsia="宋体" w:cs="Times New Roman"/>
          <w:b/>
          <w:color w:val="auto"/>
          <w:lang w:val="en-US" w:eastAsia="zh-CN"/>
        </w:rPr>
      </w:pPr>
      <w:r>
        <w:rPr>
          <w:rFonts w:hint="default" w:ascii="Times New Roman" w:hAnsi="Times New Roman" w:eastAsia="宋体" w:cs="Times New Roman"/>
          <w:b/>
          <w:color w:val="auto"/>
          <w:lang w:val="en-US" w:eastAsia="zh-CN"/>
        </w:rPr>
        <w:t xml:space="preserve">表 1.6-6 建设项目 Q 值确定表 </w:t>
      </w:r>
    </w:p>
    <w:tbl>
      <w:tblPr>
        <w:tblStyle w:val="24"/>
        <w:tblW w:w="4997" w:type="pct"/>
        <w:jc w:val="center"/>
        <w:shd w:val="clear" w:color="auto" w:fill="auto"/>
        <w:tblLayout w:type="autofit"/>
        <w:tblCellMar>
          <w:top w:w="0" w:type="dxa"/>
          <w:left w:w="108" w:type="dxa"/>
          <w:bottom w:w="0" w:type="dxa"/>
          <w:right w:w="108" w:type="dxa"/>
        </w:tblCellMar>
      </w:tblPr>
      <w:tblGrid>
        <w:gridCol w:w="1935"/>
        <w:gridCol w:w="1574"/>
        <w:gridCol w:w="2624"/>
        <w:gridCol w:w="1856"/>
        <w:gridCol w:w="1179"/>
      </w:tblGrid>
      <w:tr>
        <w:tblPrEx>
          <w:tblCellMar>
            <w:top w:w="0" w:type="dxa"/>
            <w:left w:w="108" w:type="dxa"/>
            <w:bottom w:w="0" w:type="dxa"/>
            <w:right w:w="108" w:type="dxa"/>
          </w:tblCellMar>
        </w:tblPrEx>
        <w:trPr>
          <w:trHeight w:val="540" w:hRule="atLeast"/>
          <w:jc w:val="center"/>
        </w:trPr>
        <w:tc>
          <w:tcPr>
            <w:tcW w:w="10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危险物质名称</w:t>
            </w:r>
          </w:p>
        </w:tc>
        <w:tc>
          <w:tcPr>
            <w:tcW w:w="8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CAS号</w:t>
            </w:r>
          </w:p>
        </w:tc>
        <w:tc>
          <w:tcPr>
            <w:tcW w:w="1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最大存在总量</w:t>
            </w:r>
            <w:r>
              <w:rPr>
                <w:rStyle w:val="77"/>
                <w:rFonts w:hint="default" w:ascii="Times New Roman" w:hAnsi="Times New Roman" w:eastAsia="宋体" w:cs="Times New Roman"/>
                <w:color w:val="auto"/>
                <w:sz w:val="21"/>
                <w:szCs w:val="21"/>
                <w:lang w:val="en-US" w:eastAsia="zh-CN" w:bidi="ar"/>
              </w:rPr>
              <w:t>qn/t</w:t>
            </w:r>
          </w:p>
        </w:tc>
        <w:tc>
          <w:tcPr>
            <w:tcW w:w="10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临界量</w:t>
            </w:r>
            <w:r>
              <w:rPr>
                <w:rStyle w:val="77"/>
                <w:rFonts w:hint="default" w:ascii="Times New Roman" w:hAnsi="Times New Roman" w:eastAsia="宋体" w:cs="Times New Roman"/>
                <w:color w:val="auto"/>
                <w:sz w:val="21"/>
                <w:szCs w:val="21"/>
                <w:lang w:val="en-US" w:eastAsia="zh-CN" w:bidi="ar"/>
              </w:rPr>
              <w:t>Qn/t</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iCs/>
                <w:color w:val="auto"/>
                <w:kern w:val="0"/>
                <w:sz w:val="21"/>
                <w:szCs w:val="21"/>
                <w:u w:val="none"/>
                <w:lang w:val="en-US" w:eastAsia="zh-CN" w:bidi="ar"/>
              </w:rPr>
              <w:t>Q</w:t>
            </w:r>
            <w:r>
              <w:rPr>
                <w:rFonts w:hint="default" w:ascii="Times New Roman" w:hAnsi="Times New Roman" w:eastAsia="宋体" w:cs="Times New Roman"/>
                <w:i w:val="0"/>
                <w:iCs w:val="0"/>
                <w:color w:val="auto"/>
                <w:kern w:val="0"/>
                <w:sz w:val="21"/>
                <w:szCs w:val="21"/>
                <w:u w:val="none"/>
                <w:lang w:val="en-US" w:eastAsia="zh-CN" w:bidi="ar"/>
              </w:rPr>
              <w:t>值</w:t>
            </w:r>
          </w:p>
        </w:tc>
      </w:tr>
      <w:tr>
        <w:tblPrEx>
          <w:tblCellMar>
            <w:top w:w="0" w:type="dxa"/>
            <w:left w:w="108" w:type="dxa"/>
            <w:bottom w:w="0" w:type="dxa"/>
            <w:right w:w="108" w:type="dxa"/>
          </w:tblCellMar>
        </w:tblPrEx>
        <w:trPr>
          <w:trHeight w:val="352" w:hRule="atLeast"/>
          <w:jc w:val="center"/>
        </w:trPr>
        <w:tc>
          <w:tcPr>
            <w:tcW w:w="10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天然气</w:t>
            </w:r>
          </w:p>
        </w:tc>
        <w:tc>
          <w:tcPr>
            <w:tcW w:w="8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74-82-8</w:t>
            </w:r>
          </w:p>
        </w:tc>
        <w:tc>
          <w:tcPr>
            <w:tcW w:w="1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589.68</w:t>
            </w:r>
          </w:p>
        </w:tc>
        <w:tc>
          <w:tcPr>
            <w:tcW w:w="10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58.97</w:t>
            </w:r>
          </w:p>
        </w:tc>
      </w:tr>
      <w:tr>
        <w:tblPrEx>
          <w:shd w:val="clear" w:color="auto" w:fill="auto"/>
          <w:tblCellMar>
            <w:top w:w="0" w:type="dxa"/>
            <w:left w:w="108" w:type="dxa"/>
            <w:bottom w:w="0" w:type="dxa"/>
            <w:right w:w="108" w:type="dxa"/>
          </w:tblCellMar>
        </w:tblPrEx>
        <w:trPr>
          <w:trHeight w:val="270" w:hRule="atLeast"/>
          <w:jc w:val="center"/>
        </w:trPr>
        <w:tc>
          <w:tcPr>
            <w:tcW w:w="4356"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项目</w:t>
            </w:r>
            <w:r>
              <w:rPr>
                <w:rFonts w:hint="default" w:ascii="Times New Roman" w:hAnsi="Times New Roman" w:eastAsia="宋体" w:cs="Times New Roman"/>
                <w:i/>
                <w:iCs/>
                <w:color w:val="auto"/>
                <w:kern w:val="0"/>
                <w:sz w:val="21"/>
                <w:szCs w:val="21"/>
                <w:u w:val="none"/>
                <w:lang w:val="en-US" w:eastAsia="zh-CN" w:bidi="ar"/>
              </w:rPr>
              <w:t>Q</w:t>
            </w:r>
            <w:r>
              <w:rPr>
                <w:rFonts w:hint="default" w:ascii="Times New Roman" w:hAnsi="Times New Roman" w:eastAsia="宋体" w:cs="Times New Roman"/>
                <w:i w:val="0"/>
                <w:iCs w:val="0"/>
                <w:color w:val="auto"/>
                <w:kern w:val="0"/>
                <w:sz w:val="21"/>
                <w:szCs w:val="21"/>
                <w:u w:val="none"/>
                <w:lang w:val="en-US" w:eastAsia="zh-CN" w:bidi="ar"/>
              </w:rPr>
              <w:t>值和</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58.97</w:t>
            </w:r>
          </w:p>
        </w:tc>
      </w:tr>
    </w:tbl>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因此，本工程</w:t>
      </w:r>
      <w:r>
        <w:rPr>
          <w:rFonts w:hint="default" w:ascii="Times New Roman" w:hAnsi="Times New Roman" w:eastAsia="宋体" w:cs="Times New Roman"/>
          <w:i/>
          <w:iCs/>
          <w:color w:val="auto"/>
          <w:kern w:val="0"/>
          <w:sz w:val="24"/>
          <w:szCs w:val="24"/>
          <w:lang w:val="en-US" w:eastAsia="zh-CN" w:bidi="ar"/>
        </w:rPr>
        <w:t>Q</w:t>
      </w:r>
      <w:r>
        <w:rPr>
          <w:rFonts w:hint="default" w:ascii="Times New Roman" w:hAnsi="Times New Roman" w:eastAsia="宋体" w:cs="Times New Roman"/>
          <w:color w:val="auto"/>
          <w:kern w:val="0"/>
          <w:sz w:val="24"/>
          <w:szCs w:val="24"/>
          <w:lang w:val="en-US" w:eastAsia="zh-CN" w:bidi="ar"/>
        </w:rPr>
        <w:t>值=58.97，属于10≤Q＜100分类。</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2）M 值的确定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根据《建设项目环境风险评价技术导则》(HJ/T169-2018)附录 C，本工程行业为石油天然气及其他，且长输管道运输项目应按站场、管线分段进行评价，因此不需对项目 M 值进行加和。本工程M值情况见表</w:t>
      </w:r>
    </w:p>
    <w:p>
      <w:pPr>
        <w:tabs>
          <w:tab w:val="left" w:pos="377"/>
        </w:tabs>
        <w:spacing w:line="360" w:lineRule="exact"/>
        <w:ind w:firstLine="354" w:firstLineChars="147"/>
        <w:jc w:val="center"/>
        <w:rPr>
          <w:rFonts w:hint="default" w:ascii="Times New Roman" w:hAnsi="Times New Roman" w:eastAsia="宋体" w:cs="Times New Roman"/>
          <w:b/>
          <w:color w:val="auto"/>
          <w:lang w:val="en-US" w:eastAsia="zh-CN"/>
        </w:rPr>
      </w:pPr>
      <w:r>
        <w:rPr>
          <w:rFonts w:hint="default" w:ascii="Times New Roman" w:hAnsi="Times New Roman" w:eastAsia="宋体" w:cs="Times New Roman"/>
          <w:b/>
          <w:color w:val="auto"/>
          <w:lang w:val="en-US" w:eastAsia="zh-CN"/>
        </w:rPr>
        <w:t>表 1.6-7 建设项目 M 值确定表</w:t>
      </w:r>
    </w:p>
    <w:tbl>
      <w:tblPr>
        <w:tblStyle w:val="24"/>
        <w:tblW w:w="4996" w:type="pct"/>
        <w:jc w:val="center"/>
        <w:shd w:val="clear" w:color="auto" w:fill="auto"/>
        <w:tblLayout w:type="autofit"/>
        <w:tblCellMar>
          <w:top w:w="0" w:type="dxa"/>
          <w:left w:w="108" w:type="dxa"/>
          <w:bottom w:w="0" w:type="dxa"/>
          <w:right w:w="108" w:type="dxa"/>
        </w:tblCellMar>
      </w:tblPr>
      <w:tblGrid>
        <w:gridCol w:w="1161"/>
        <w:gridCol w:w="2425"/>
        <w:gridCol w:w="2548"/>
        <w:gridCol w:w="1853"/>
        <w:gridCol w:w="1180"/>
      </w:tblGrid>
      <w:tr>
        <w:tblPrEx>
          <w:shd w:val="clear" w:color="auto" w:fill="auto"/>
          <w:tblCellMar>
            <w:top w:w="0" w:type="dxa"/>
            <w:left w:w="108" w:type="dxa"/>
            <w:bottom w:w="0" w:type="dxa"/>
            <w:right w:w="108" w:type="dxa"/>
          </w:tblCellMar>
        </w:tblPrEx>
        <w:trPr>
          <w:trHeight w:val="300" w:hRule="atLeast"/>
          <w:jc w:val="center"/>
        </w:trPr>
        <w:tc>
          <w:tcPr>
            <w:tcW w:w="6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序号</w:t>
            </w:r>
          </w:p>
        </w:tc>
        <w:tc>
          <w:tcPr>
            <w:tcW w:w="1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工艺单元名称</w:t>
            </w:r>
          </w:p>
        </w:tc>
        <w:tc>
          <w:tcPr>
            <w:tcW w:w="13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生产工艺</w:t>
            </w:r>
          </w:p>
        </w:tc>
        <w:tc>
          <w:tcPr>
            <w:tcW w:w="10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数量/套</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M分值</w:t>
            </w:r>
          </w:p>
        </w:tc>
      </w:tr>
      <w:tr>
        <w:tblPrEx>
          <w:shd w:val="clear" w:color="auto" w:fill="auto"/>
          <w:tblCellMar>
            <w:top w:w="0" w:type="dxa"/>
            <w:left w:w="108" w:type="dxa"/>
            <w:bottom w:w="0" w:type="dxa"/>
            <w:right w:w="108" w:type="dxa"/>
          </w:tblCellMar>
        </w:tblPrEx>
        <w:trPr>
          <w:trHeight w:val="300" w:hRule="atLeast"/>
          <w:jc w:val="center"/>
        </w:trPr>
        <w:tc>
          <w:tcPr>
            <w:tcW w:w="6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1</w:t>
            </w:r>
          </w:p>
        </w:tc>
        <w:tc>
          <w:tcPr>
            <w:tcW w:w="1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石油天然气</w:t>
            </w:r>
          </w:p>
        </w:tc>
        <w:tc>
          <w:tcPr>
            <w:tcW w:w="13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油气管线</w:t>
            </w:r>
          </w:p>
        </w:tc>
        <w:tc>
          <w:tcPr>
            <w:tcW w:w="10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1</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10</w:t>
            </w:r>
          </w:p>
        </w:tc>
      </w:tr>
      <w:tr>
        <w:tblPrEx>
          <w:shd w:val="clear" w:color="auto" w:fill="auto"/>
          <w:tblCellMar>
            <w:top w:w="0" w:type="dxa"/>
            <w:left w:w="108" w:type="dxa"/>
            <w:bottom w:w="0" w:type="dxa"/>
            <w:right w:w="108" w:type="dxa"/>
          </w:tblCellMar>
        </w:tblPrEx>
        <w:trPr>
          <w:trHeight w:val="300" w:hRule="atLeast"/>
          <w:jc w:val="center"/>
        </w:trPr>
        <w:tc>
          <w:tcPr>
            <w:tcW w:w="6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2</w:t>
            </w:r>
          </w:p>
        </w:tc>
        <w:tc>
          <w:tcPr>
            <w:tcW w:w="1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其他</w:t>
            </w:r>
          </w:p>
        </w:tc>
        <w:tc>
          <w:tcPr>
            <w:tcW w:w="13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输气站场</w:t>
            </w:r>
          </w:p>
        </w:tc>
        <w:tc>
          <w:tcPr>
            <w:tcW w:w="10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1</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5</w:t>
            </w:r>
          </w:p>
        </w:tc>
      </w:tr>
    </w:tbl>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因此，本工程 M=10。根据划分依据，属于M3（5＜M≤10）。</w:t>
      </w:r>
    </w:p>
    <w:p>
      <w:pPr>
        <w:keepNext w:val="0"/>
        <w:keepLines w:val="0"/>
        <w:widowControl/>
        <w:numPr>
          <w:ilvl w:val="0"/>
          <w:numId w:val="3"/>
        </w:numPr>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P 的确定</w:t>
      </w:r>
    </w:p>
    <w:p>
      <w:pPr>
        <w:keepNext w:val="0"/>
        <w:keepLines w:val="0"/>
        <w:widowControl/>
        <w:numPr>
          <w:ilvl w:val="0"/>
          <w:numId w:val="0"/>
        </w:numPr>
        <w:suppressLineNumbers w:val="0"/>
        <w:ind w:firstLine="480" w:firstLineChars="20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本工程 10≤Q=58.97＜100，M 属 M3，根据《建设项目环境风险评价技术导则》（HJ/T169-2018）附录 C 中 P 的确定依据，项目危险物质及工艺系统危害性（P）的等级为中度危害 P3。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4）环境敏感程度(E)分级根据《建设项目环境风险评价技术导则(HJ 169-2018)》附录 D 对本工程环境敏感程度进行分级。本工程为天然气输送管道，根据管道沿线及各站场周围人口分布情况，大气环境敏感程度属于 E2（环境中度敏感区）。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5）本工程环境风险潜势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根据《建设项目环境风险评价技术导则（HJ 169-2018）》,建设项目环境风险潜势划分原则，项目大气环境风险潜势划分为</w:t>
      </w:r>
      <w:r>
        <w:rPr>
          <w:rFonts w:hint="default" w:ascii="Times New Roman" w:hAnsi="Times New Roman" w:eastAsia="宋体" w:cs="Times New Roman"/>
          <w:i w:val="0"/>
          <w:iCs w:val="0"/>
          <w:color w:val="auto"/>
          <w:kern w:val="0"/>
          <w:sz w:val="21"/>
          <w:szCs w:val="21"/>
          <w:u w:val="none"/>
          <w:lang w:val="en-US" w:eastAsia="zh-CN" w:bidi="ar"/>
        </w:rPr>
        <w:t>Ⅲ</w:t>
      </w:r>
      <w:r>
        <w:rPr>
          <w:rFonts w:hint="default" w:ascii="Times New Roman" w:hAnsi="Times New Roman" w:eastAsia="宋体" w:cs="Times New Roman"/>
          <w:color w:val="auto"/>
          <w:kern w:val="0"/>
          <w:sz w:val="24"/>
          <w:szCs w:val="24"/>
          <w:lang w:val="en-US" w:eastAsia="zh-CN" w:bidi="ar"/>
        </w:rPr>
        <w:t>级。</w:t>
      </w:r>
    </w:p>
    <w:p>
      <w:pPr>
        <w:tabs>
          <w:tab w:val="left" w:pos="377"/>
        </w:tabs>
        <w:spacing w:line="360" w:lineRule="exact"/>
        <w:ind w:firstLine="354" w:firstLineChars="147"/>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b/>
          <w:color w:val="auto"/>
          <w:lang w:val="en-US" w:eastAsia="zh-CN"/>
        </w:rPr>
        <w:t>1.6.-8建设项目环境风险潜势划分</w:t>
      </w:r>
    </w:p>
    <w:tbl>
      <w:tblPr>
        <w:tblStyle w:val="24"/>
        <w:tblW w:w="4996" w:type="pct"/>
        <w:jc w:val="center"/>
        <w:shd w:val="clear" w:color="auto" w:fill="auto"/>
        <w:tblLayout w:type="autofit"/>
        <w:tblCellMar>
          <w:top w:w="0" w:type="dxa"/>
          <w:left w:w="108" w:type="dxa"/>
          <w:bottom w:w="0" w:type="dxa"/>
          <w:right w:w="108" w:type="dxa"/>
        </w:tblCellMar>
      </w:tblPr>
      <w:tblGrid>
        <w:gridCol w:w="2350"/>
        <w:gridCol w:w="1678"/>
        <w:gridCol w:w="1835"/>
        <w:gridCol w:w="1810"/>
        <w:gridCol w:w="1494"/>
      </w:tblGrid>
      <w:tr>
        <w:tblPrEx>
          <w:shd w:val="clear" w:color="auto" w:fill="auto"/>
          <w:tblCellMar>
            <w:top w:w="0" w:type="dxa"/>
            <w:left w:w="108" w:type="dxa"/>
            <w:bottom w:w="0" w:type="dxa"/>
            <w:right w:w="108" w:type="dxa"/>
          </w:tblCellMar>
        </w:tblPrEx>
        <w:trPr>
          <w:trHeight w:val="270" w:hRule="atLeast"/>
          <w:jc w:val="center"/>
        </w:trPr>
        <w:tc>
          <w:tcPr>
            <w:tcW w:w="12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环境敏感程度（E）</w:t>
            </w:r>
          </w:p>
        </w:tc>
        <w:tc>
          <w:tcPr>
            <w:tcW w:w="3717"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危险物质及工艺系统危险性（P）</w:t>
            </w:r>
          </w:p>
        </w:tc>
      </w:tr>
      <w:tr>
        <w:tblPrEx>
          <w:shd w:val="clear" w:color="auto" w:fill="auto"/>
          <w:tblCellMar>
            <w:top w:w="0" w:type="dxa"/>
            <w:left w:w="108" w:type="dxa"/>
            <w:bottom w:w="0" w:type="dxa"/>
            <w:right w:w="108" w:type="dxa"/>
          </w:tblCellMar>
        </w:tblPrEx>
        <w:trPr>
          <w:trHeight w:val="540" w:hRule="atLeast"/>
          <w:jc w:val="center"/>
        </w:trPr>
        <w:tc>
          <w:tcPr>
            <w:tcW w:w="12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宋体" w:cs="Times New Roman"/>
                <w:i w:val="0"/>
                <w:iCs w:val="0"/>
                <w:color w:val="auto"/>
                <w:sz w:val="21"/>
                <w:szCs w:val="21"/>
                <w:u w:val="none"/>
              </w:rPr>
            </w:pPr>
          </w:p>
        </w:tc>
        <w:tc>
          <w:tcPr>
            <w:tcW w:w="91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极高危害（P1）</w:t>
            </w:r>
          </w:p>
        </w:tc>
        <w:tc>
          <w:tcPr>
            <w:tcW w:w="10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高度危害（P2）</w:t>
            </w:r>
          </w:p>
        </w:tc>
        <w:tc>
          <w:tcPr>
            <w:tcW w:w="9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中度危害（P3）</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轻度危害（P4）</w:t>
            </w:r>
          </w:p>
        </w:tc>
      </w:tr>
      <w:tr>
        <w:tblPrEx>
          <w:shd w:val="clear" w:color="auto" w:fill="auto"/>
          <w:tblCellMar>
            <w:top w:w="0" w:type="dxa"/>
            <w:left w:w="108" w:type="dxa"/>
            <w:bottom w:w="0" w:type="dxa"/>
            <w:right w:w="108" w:type="dxa"/>
          </w:tblCellMar>
        </w:tblPrEx>
        <w:trPr>
          <w:trHeight w:val="540" w:hRule="atLeast"/>
          <w:jc w:val="center"/>
        </w:trPr>
        <w:tc>
          <w:tcPr>
            <w:tcW w:w="12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环境高度敏感程度（E1）</w:t>
            </w:r>
          </w:p>
        </w:tc>
        <w:tc>
          <w:tcPr>
            <w:tcW w:w="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Ⅳ+</w:t>
            </w:r>
          </w:p>
        </w:tc>
        <w:tc>
          <w:tcPr>
            <w:tcW w:w="10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Ⅳ</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Ⅲ</w:t>
            </w:r>
          </w:p>
        </w:tc>
        <w:tc>
          <w:tcPr>
            <w:tcW w:w="8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Ⅲ</w:t>
            </w:r>
          </w:p>
        </w:tc>
      </w:tr>
      <w:tr>
        <w:tblPrEx>
          <w:shd w:val="clear" w:color="auto" w:fill="auto"/>
          <w:tblCellMar>
            <w:top w:w="0" w:type="dxa"/>
            <w:left w:w="108" w:type="dxa"/>
            <w:bottom w:w="0" w:type="dxa"/>
            <w:right w:w="108" w:type="dxa"/>
          </w:tblCellMar>
        </w:tblPrEx>
        <w:trPr>
          <w:trHeight w:val="540" w:hRule="atLeast"/>
          <w:jc w:val="center"/>
        </w:trPr>
        <w:tc>
          <w:tcPr>
            <w:tcW w:w="12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环境中度敏感程度（E2）</w:t>
            </w:r>
          </w:p>
        </w:tc>
        <w:tc>
          <w:tcPr>
            <w:tcW w:w="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Ⅳ</w:t>
            </w:r>
          </w:p>
        </w:tc>
        <w:tc>
          <w:tcPr>
            <w:tcW w:w="10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Ⅲ</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Ⅲ</w:t>
            </w:r>
          </w:p>
        </w:tc>
        <w:tc>
          <w:tcPr>
            <w:tcW w:w="8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Ⅱ</w:t>
            </w:r>
          </w:p>
        </w:tc>
      </w:tr>
      <w:tr>
        <w:tblPrEx>
          <w:shd w:val="clear" w:color="auto" w:fill="auto"/>
          <w:tblCellMar>
            <w:top w:w="0" w:type="dxa"/>
            <w:left w:w="108" w:type="dxa"/>
            <w:bottom w:w="0" w:type="dxa"/>
            <w:right w:w="108" w:type="dxa"/>
          </w:tblCellMar>
        </w:tblPrEx>
        <w:trPr>
          <w:trHeight w:val="540" w:hRule="atLeast"/>
          <w:jc w:val="center"/>
        </w:trPr>
        <w:tc>
          <w:tcPr>
            <w:tcW w:w="12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环境低度敏感程度（E3）</w:t>
            </w:r>
          </w:p>
        </w:tc>
        <w:tc>
          <w:tcPr>
            <w:tcW w:w="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Ⅲ</w:t>
            </w:r>
          </w:p>
        </w:tc>
        <w:tc>
          <w:tcPr>
            <w:tcW w:w="10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Ⅲ</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Ⅱ</w:t>
            </w:r>
          </w:p>
        </w:tc>
        <w:tc>
          <w:tcPr>
            <w:tcW w:w="8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Ⅰ</w:t>
            </w:r>
          </w:p>
        </w:tc>
      </w:tr>
      <w:tr>
        <w:tblPrEx>
          <w:shd w:val="clear" w:color="auto" w:fill="auto"/>
          <w:tblCellMar>
            <w:top w:w="0" w:type="dxa"/>
            <w:left w:w="108" w:type="dxa"/>
            <w:bottom w:w="0" w:type="dxa"/>
            <w:right w:w="108" w:type="dxa"/>
          </w:tblCellMar>
        </w:tblPrEx>
        <w:trPr>
          <w:trHeight w:val="270" w:hRule="atLeast"/>
          <w:jc w:val="center"/>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注：Ⅳ+为极高环境风险</w:t>
            </w:r>
          </w:p>
        </w:tc>
      </w:tr>
    </w:tbl>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按照《建设项目环境风险评价技术导则》(HJ/T 169-2018)中评价工作等级划分原则，建设项目环境风险潜势为</w:t>
      </w:r>
      <w:r>
        <w:rPr>
          <w:rFonts w:hint="default" w:ascii="Times New Roman" w:hAnsi="Times New Roman" w:eastAsia="宋体" w:cs="Times New Roman"/>
          <w:i w:val="0"/>
          <w:iCs w:val="0"/>
          <w:color w:val="auto"/>
          <w:kern w:val="0"/>
          <w:sz w:val="21"/>
          <w:szCs w:val="21"/>
          <w:u w:val="none"/>
          <w:lang w:val="en-US" w:eastAsia="zh-CN" w:bidi="ar"/>
        </w:rPr>
        <w:t>Ⅲ，</w:t>
      </w:r>
      <w:r>
        <w:rPr>
          <w:rFonts w:hint="default" w:ascii="Times New Roman" w:hAnsi="Times New Roman" w:eastAsia="宋体" w:cs="Times New Roman"/>
          <w:color w:val="auto"/>
          <w:kern w:val="0"/>
          <w:sz w:val="24"/>
          <w:szCs w:val="24"/>
          <w:lang w:val="en-US" w:eastAsia="zh-CN" w:bidi="ar"/>
        </w:rPr>
        <w:t>进行二级评价，见表 1.6-9。因此，确定本工程环境风险评价工作等级为二级。</w:t>
      </w:r>
    </w:p>
    <w:p>
      <w:pPr>
        <w:tabs>
          <w:tab w:val="left" w:pos="377"/>
        </w:tabs>
        <w:spacing w:line="360" w:lineRule="exact"/>
        <w:ind w:firstLine="354" w:firstLineChars="147"/>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表</w:t>
      </w:r>
      <w:r>
        <w:rPr>
          <w:rFonts w:hint="default" w:ascii="Times New Roman" w:hAnsi="Times New Roman" w:eastAsia="宋体" w:cs="Times New Roman"/>
          <w:b/>
          <w:color w:val="auto"/>
          <w:lang w:val="en-US" w:eastAsia="zh-CN"/>
        </w:rPr>
        <w:t>1</w:t>
      </w:r>
      <w:r>
        <w:rPr>
          <w:rFonts w:hint="default" w:ascii="Times New Roman" w:hAnsi="Times New Roman" w:eastAsia="宋体" w:cs="Times New Roman"/>
          <w:b/>
          <w:color w:val="auto"/>
        </w:rPr>
        <w:t>.</w:t>
      </w:r>
      <w:r>
        <w:rPr>
          <w:rFonts w:hint="default" w:ascii="Times New Roman" w:hAnsi="Times New Roman" w:eastAsia="宋体" w:cs="Times New Roman"/>
          <w:b/>
          <w:color w:val="auto"/>
          <w:lang w:val="en-US" w:eastAsia="zh-CN"/>
        </w:rPr>
        <w:t xml:space="preserve">6-9 </w:t>
      </w:r>
      <w:r>
        <w:rPr>
          <w:rFonts w:hint="default" w:ascii="Times New Roman" w:hAnsi="Times New Roman" w:eastAsia="宋体" w:cs="Times New Roman"/>
          <w:b/>
          <w:color w:val="auto"/>
        </w:rPr>
        <w:t xml:space="preserve"> 评价工作等级划分</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4"/>
        <w:gridCol w:w="1835"/>
        <w:gridCol w:w="1835"/>
        <w:gridCol w:w="1835"/>
        <w:gridCol w:w="1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834"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环境风险潜势</w:t>
            </w:r>
          </w:p>
        </w:tc>
        <w:tc>
          <w:tcPr>
            <w:tcW w:w="1835"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IV、IV+</w:t>
            </w:r>
          </w:p>
        </w:tc>
        <w:tc>
          <w:tcPr>
            <w:tcW w:w="1835"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III</w:t>
            </w:r>
          </w:p>
        </w:tc>
        <w:tc>
          <w:tcPr>
            <w:tcW w:w="1835"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II</w:t>
            </w:r>
          </w:p>
        </w:tc>
        <w:tc>
          <w:tcPr>
            <w:tcW w:w="1835"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834"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评价工作等级</w:t>
            </w:r>
          </w:p>
        </w:tc>
        <w:tc>
          <w:tcPr>
            <w:tcW w:w="1835"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一</w:t>
            </w:r>
          </w:p>
        </w:tc>
        <w:tc>
          <w:tcPr>
            <w:tcW w:w="1835"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二</w:t>
            </w:r>
          </w:p>
        </w:tc>
        <w:tc>
          <w:tcPr>
            <w:tcW w:w="1835"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三</w:t>
            </w:r>
          </w:p>
        </w:tc>
        <w:tc>
          <w:tcPr>
            <w:tcW w:w="1835"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174" w:type="dxa"/>
            <w:gridSpan w:val="5"/>
            <w:vAlign w:val="center"/>
          </w:tcPr>
          <w:p>
            <w:pPr>
              <w:pStyle w:val="23"/>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a是相对详细评价工作内容而言，在描述危险物质、环境影响途径、环境危害后果、风险防范措施等方面给出定性的说明。</w:t>
            </w:r>
          </w:p>
        </w:tc>
      </w:tr>
    </w:tbl>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2、 评价范围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评价范围为管道中心线两侧各 200m 及站场周围 5km 的范围</w:t>
      </w:r>
    </w:p>
    <w:p>
      <w:pPr>
        <w:pStyle w:val="5"/>
        <w:bidi w:val="0"/>
        <w:rPr>
          <w:rFonts w:hint="default" w:ascii="Times New Roman" w:hAnsi="Times New Roman" w:eastAsia="宋体" w:cs="Times New Roman"/>
          <w:color w:val="auto"/>
          <w:lang w:val="en-US" w:eastAsia="zh-CN"/>
        </w:rPr>
      </w:pPr>
      <w:bookmarkStart w:id="18" w:name="_Toc22200"/>
      <w:r>
        <w:rPr>
          <w:rFonts w:hint="default" w:ascii="Times New Roman" w:hAnsi="Times New Roman" w:eastAsia="宋体" w:cs="Times New Roman"/>
          <w:color w:val="auto"/>
          <w:lang w:val="en-US" w:eastAsia="zh-CN"/>
        </w:rPr>
        <w:t>1.7 评价内容和评价重点</w:t>
      </w:r>
      <w:bookmarkEnd w:id="18"/>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1.7.1 评价内容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评价的主要内容包括工程分析、环境现状调查（生态环境、环境空气、水环境及声环境）、建设项目对环境可能造成影响的分析和预测（生态环境、环境空气、水及噪声）、环境风险评价、路由评价、环境保护措施及其经济、技术论证、环境管理与环境监测计划、评价结论和建议等。</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kern w:val="0"/>
          <w:sz w:val="24"/>
          <w:szCs w:val="24"/>
          <w:lang w:val="en-US" w:eastAsia="zh-CN" w:bidi="ar"/>
        </w:rPr>
        <w:t>1.7.2 评价重点</w:t>
      </w:r>
      <w:r>
        <w:rPr>
          <w:rFonts w:hint="default" w:ascii="Times New Roman" w:hAnsi="Times New Roman" w:eastAsia="宋体" w:cs="Times New Roman"/>
          <w:color w:val="auto"/>
          <w:lang w:val="en-US" w:eastAsia="zh-CN"/>
        </w:rPr>
        <w:t xml:space="preserve">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针对本工程特点、环境特征及沿线的敏感保护目标，确定本工程环评以施工期的生态环境影响评价、河流穿越段影响分析以及运行期的环境风险评价为重点，并对工程上采用的环保措施进行论证，提出改进措施及环境管理计划。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1、阐明管道经过地区的物种多样性、生态功能、管道穿越的主要影响并提出切实可行的保护措施。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2、对于管道沿线涉及的敏感区域，在做好其现状调查工作的同时，重点评价管道穿越该区域的影响程度，在可接受的范围内，提出减缓和预防措施，使其影响为最小。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3、从预防破坏、工程恢复、异地补偿和重点区域进行生态建设等方面，提出生态环境保护、恢复和重建措施和方案。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对于重要河流穿越段，详细调查评价区域河流、水系、流域分布情况，结合当地水环境功能区划，分析工程选择的河流穿越位置以及施工期选择的合理性，评价可能的影响范围和影响程度，同时提出减缓和预防措施。</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5、环境风险评价重点为分析管道、站场事故对近距离居民的影响以及事故对环境的次生影响，提出事故防范、应急和处置措施，制定可操作性强的事故应急预案。</w:t>
      </w:r>
    </w:p>
    <w:p>
      <w:pPr>
        <w:pStyle w:val="5"/>
        <w:bidi w:val="0"/>
        <w:rPr>
          <w:rFonts w:hint="default" w:ascii="Times New Roman" w:hAnsi="Times New Roman" w:eastAsia="宋体" w:cs="Times New Roman"/>
          <w:color w:val="auto"/>
          <w:lang w:val="en-US" w:eastAsia="zh-CN"/>
        </w:rPr>
      </w:pPr>
      <w:bookmarkStart w:id="19" w:name="_Toc2774"/>
      <w:r>
        <w:rPr>
          <w:rFonts w:hint="default" w:ascii="Times New Roman" w:hAnsi="Times New Roman" w:eastAsia="宋体" w:cs="Times New Roman"/>
          <w:color w:val="auto"/>
          <w:lang w:val="en-US" w:eastAsia="zh-CN"/>
        </w:rPr>
        <w:t>1.8 环境敏感保护目标</w:t>
      </w:r>
      <w:bookmarkEnd w:id="19"/>
      <w:r>
        <w:rPr>
          <w:rFonts w:hint="default" w:ascii="Times New Roman" w:hAnsi="Times New Roman" w:eastAsia="宋体" w:cs="Times New Roman"/>
          <w:color w:val="auto"/>
          <w:lang w:val="en-US" w:eastAsia="zh-CN"/>
        </w:rPr>
        <w:t xml:space="preserve">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lang w:val="en-US" w:eastAsia="zh-CN"/>
        </w:rPr>
        <w:t>1.8.1 环境敏感保护目标</w:t>
      </w:r>
      <w:r>
        <w:rPr>
          <w:rFonts w:hint="default" w:ascii="Times New Roman" w:hAnsi="Times New Roman" w:eastAsia="宋体" w:cs="Times New Roman"/>
          <w:color w:val="auto"/>
          <w:lang w:val="en-US" w:eastAsia="zh-CN"/>
        </w:rPr>
        <w:t xml:space="preserve"> </w:t>
      </w:r>
    </w:p>
    <w:p>
      <w:pPr>
        <w:bidi w:val="0"/>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lang w:val="en-US" w:eastAsia="zh-CN"/>
        </w:rPr>
        <w:t>1、生态环境敏感目标。</w:t>
      </w:r>
      <w:r>
        <w:rPr>
          <w:rFonts w:hint="default" w:ascii="Times New Roman" w:hAnsi="Times New Roman" w:eastAsia="宋体" w:cs="Times New Roman"/>
          <w:color w:val="auto"/>
          <w:lang w:val="en-US" w:eastAsia="zh-CN"/>
        </w:rPr>
        <w:t>本工程沿线涉及生态环境敏感目标1个：</w:t>
      </w:r>
      <w:r>
        <w:rPr>
          <w:rFonts w:hint="default" w:ascii="Times New Roman" w:hAnsi="Times New Roman" w:eastAsia="宋体" w:cs="Times New Roman"/>
          <w:b w:val="0"/>
          <w:bCs w:val="0"/>
          <w:color w:val="auto"/>
          <w:lang w:val="en-US" w:eastAsia="zh-CN"/>
        </w:rPr>
        <w:t>国家级水土流失重点治理区。工程位于广元市苍溪县境内，根据水利部办公厅关于印发《四川省省级水土流失重点预防区和重点治理区划分成果》的通知（川水函〔2017〕482 号），本工程沿线区域属于国家级水土流失重点治理区。</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b w:val="0"/>
          <w:bCs w:val="0"/>
          <w:color w:val="auto"/>
          <w:lang w:val="en-US" w:eastAsia="zh-CN"/>
        </w:rPr>
        <w:t>2、地表水环境敏感目标：</w:t>
      </w:r>
      <w:r>
        <w:rPr>
          <w:rFonts w:hint="default" w:ascii="Times New Roman" w:hAnsi="Times New Roman" w:eastAsia="宋体" w:cs="Times New Roman"/>
          <w:color w:val="auto"/>
          <w:lang w:val="en-US" w:eastAsia="zh-CN"/>
        </w:rPr>
        <w:t>本工程沿线涉及地表水环境敏感目标1个：</w:t>
      </w:r>
      <w:r>
        <w:rPr>
          <w:rFonts w:hint="default" w:ascii="Times New Roman" w:hAnsi="Times New Roman" w:eastAsia="宋体" w:cs="Times New Roman"/>
          <w:color w:val="auto"/>
          <w:kern w:val="0"/>
          <w:sz w:val="24"/>
          <w:szCs w:val="24"/>
          <w:lang w:val="en-US" w:eastAsia="zh-CN" w:bidi="ar"/>
        </w:rPr>
        <w:t>东河集中式饮用水源地二级保护区。工程从东河集中饮用水源二级保护区穿越约1300m，拟采用定向钻穿越，工程选线穿越点距离云峰镇王渡社区取水口上游3.2km 处，位于云峰镇王渡社区饮用水源二级保护区范围内。</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1.8.2.3 环境空气保护目标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环境空气保护目标为站场周围边长 5km 正方形范围内的村庄和其他人 口集中分布区。具体统计情况详见附表 2。环境空气保护目标分布情况见附图 3。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1.8.2.4 声环境保护目标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声环境保护目标为管道沿线两侧 200m 范围以及站场周围 200m 范围内的村庄和其他人口集中分布区。</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1.8.2.5 环境风险保护目标 </w:t>
      </w:r>
    </w:p>
    <w:p>
      <w:pPr>
        <w:bidi w:val="0"/>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lang w:val="en-US" w:eastAsia="zh-CN"/>
        </w:rPr>
        <w:t>环境风险保护目标为管道沿线两侧 200m 范围以及站场周围 5km 范围内的村庄和其他人口集中分布区。</w:t>
      </w:r>
    </w:p>
    <w:p>
      <w:pPr>
        <w:pStyle w:val="5"/>
        <w:bidi w:val="0"/>
        <w:rPr>
          <w:rFonts w:hint="default" w:ascii="Times New Roman" w:hAnsi="Times New Roman" w:eastAsia="宋体" w:cs="Times New Roman"/>
          <w:color w:val="auto"/>
          <w:lang w:val="en-US" w:eastAsia="zh-CN"/>
        </w:rPr>
      </w:pPr>
      <w:bookmarkStart w:id="20" w:name="_Toc16073"/>
      <w:r>
        <w:rPr>
          <w:rFonts w:hint="default" w:ascii="Times New Roman" w:hAnsi="Times New Roman" w:eastAsia="宋体" w:cs="Times New Roman"/>
          <w:color w:val="auto"/>
          <w:lang w:val="en-US" w:eastAsia="zh-CN"/>
        </w:rPr>
        <w:t>1.9主要外环境关系及环境保护目标</w:t>
      </w:r>
      <w:bookmarkEnd w:id="20"/>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1.9.1主要外环境关系</w:t>
      </w:r>
    </w:p>
    <w:p>
      <w:pPr>
        <w:bidi w:val="0"/>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中贵线与元坝-普光管道联通工程项目管道全线位于苍溪县境内，管道起于元坝净化厂内的元坝首站，线路出站后向南敷设，途经冉家沟、李家湾，圆包梁，在阎家湾穿越东河后，经全民村、朱家湾、孙家沟、曹家院、清盐村，张家湾，最后止于陵江清管站，全线长度约</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根据现场踏勘，沿线为散居住户，其中桅杆村内有桅杆小学，距离工程红线156.8m，青盐村内有青盐小学距离工程红线168.1m。具体位置距离示意图如下：</w:t>
      </w:r>
    </w:p>
    <w:p>
      <w:pPr>
        <w:pStyle w:val="28"/>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color w:val="auto"/>
        </w:rPr>
        <w:drawing>
          <wp:inline distT="0" distB="0" distL="114300" distR="114300">
            <wp:extent cx="5687695" cy="2789555"/>
            <wp:effectExtent l="0" t="0" r="8255" b="10795"/>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pic:cNvPicPr>
                  </pic:nvPicPr>
                  <pic:blipFill>
                    <a:blip r:embed="rId10"/>
                    <a:srcRect t="4347" b="8456"/>
                    <a:stretch>
                      <a:fillRect/>
                    </a:stretch>
                  </pic:blipFill>
                  <pic:spPr>
                    <a:xfrm>
                      <a:off x="0" y="0"/>
                      <a:ext cx="5687695" cy="2789555"/>
                    </a:xfrm>
                    <a:prstGeom prst="rect">
                      <a:avLst/>
                    </a:prstGeom>
                    <a:noFill/>
                    <a:ln>
                      <a:noFill/>
                    </a:ln>
                  </pic:spPr>
                </pic:pic>
              </a:graphicData>
            </a:graphic>
          </wp:inline>
        </w:drawing>
      </w:r>
    </w:p>
    <w:p>
      <w:pPr>
        <w:pStyle w:val="28"/>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图1.9-1 工程沿线敏感点分布图</w:t>
      </w:r>
    </w:p>
    <w:p>
      <w:pPr>
        <w:pStyle w:val="13"/>
        <w:keepNext w:val="0"/>
        <w:keepLines w:val="0"/>
        <w:pageBreakBefore w:val="0"/>
        <w:widowControl w:val="0"/>
        <w:kinsoku/>
        <w:wordWrap/>
        <w:overflowPunct/>
        <w:topLinePunct w:val="0"/>
        <w:bidi w:val="0"/>
        <w:snapToGrid/>
        <w:spacing w:line="480" w:lineRule="exact"/>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表1.9-1  项目外环境关系</w:t>
      </w:r>
    </w:p>
    <w:tbl>
      <w:tblPr>
        <w:tblStyle w:val="24"/>
        <w:tblW w:w="4998" w:type="pct"/>
        <w:tblInd w:w="0" w:type="dxa"/>
        <w:shd w:val="clear" w:color="auto" w:fill="auto"/>
        <w:tblLayout w:type="autofit"/>
        <w:tblCellMar>
          <w:top w:w="0" w:type="dxa"/>
          <w:left w:w="108" w:type="dxa"/>
          <w:bottom w:w="0" w:type="dxa"/>
          <w:right w:w="108" w:type="dxa"/>
        </w:tblCellMar>
      </w:tblPr>
      <w:tblGrid>
        <w:gridCol w:w="1891"/>
        <w:gridCol w:w="1684"/>
        <w:gridCol w:w="2569"/>
        <w:gridCol w:w="1811"/>
        <w:gridCol w:w="1215"/>
      </w:tblGrid>
      <w:tr>
        <w:tblPrEx>
          <w:shd w:val="clear" w:color="auto" w:fill="auto"/>
          <w:tblCellMar>
            <w:top w:w="0" w:type="dxa"/>
            <w:left w:w="108" w:type="dxa"/>
            <w:bottom w:w="0" w:type="dxa"/>
            <w:right w:w="108" w:type="dxa"/>
          </w:tblCellMar>
        </w:tblPrEx>
        <w:trPr>
          <w:trHeight w:val="300" w:hRule="atLeast"/>
        </w:trPr>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9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名称</w:t>
            </w:r>
          </w:p>
        </w:tc>
        <w:tc>
          <w:tcPr>
            <w:tcW w:w="1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方位</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距离（m）</w:t>
            </w:r>
          </w:p>
        </w:tc>
        <w:tc>
          <w:tcPr>
            <w:tcW w:w="6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性质</w:t>
            </w:r>
          </w:p>
        </w:tc>
      </w:tr>
      <w:tr>
        <w:tblPrEx>
          <w:shd w:val="clear" w:color="auto" w:fill="auto"/>
          <w:tblCellMar>
            <w:top w:w="0" w:type="dxa"/>
            <w:left w:w="108" w:type="dxa"/>
            <w:bottom w:w="0" w:type="dxa"/>
            <w:right w:w="108" w:type="dxa"/>
          </w:tblCellMar>
        </w:tblPrEx>
        <w:trPr>
          <w:trHeight w:val="300" w:hRule="atLeast"/>
        </w:trPr>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9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冉家沟</w:t>
            </w:r>
          </w:p>
        </w:tc>
        <w:tc>
          <w:tcPr>
            <w:tcW w:w="1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线路右侧</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73.5</w:t>
            </w:r>
          </w:p>
        </w:tc>
        <w:tc>
          <w:tcPr>
            <w:tcW w:w="6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村庄</w:t>
            </w:r>
          </w:p>
        </w:tc>
      </w:tr>
      <w:tr>
        <w:tblPrEx>
          <w:shd w:val="clear" w:color="auto" w:fill="auto"/>
          <w:tblCellMar>
            <w:top w:w="0" w:type="dxa"/>
            <w:left w:w="108" w:type="dxa"/>
            <w:bottom w:w="0" w:type="dxa"/>
            <w:right w:w="108" w:type="dxa"/>
          </w:tblCellMar>
        </w:tblPrEx>
        <w:trPr>
          <w:trHeight w:val="300" w:hRule="atLeast"/>
        </w:trPr>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9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阎家沟</w:t>
            </w:r>
          </w:p>
        </w:tc>
        <w:tc>
          <w:tcPr>
            <w:tcW w:w="1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线路左侧</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190.3</w:t>
            </w:r>
          </w:p>
        </w:tc>
        <w:tc>
          <w:tcPr>
            <w:tcW w:w="6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村庄</w:t>
            </w:r>
          </w:p>
        </w:tc>
      </w:tr>
      <w:tr>
        <w:tblPrEx>
          <w:shd w:val="clear" w:color="auto" w:fill="auto"/>
          <w:tblCellMar>
            <w:top w:w="0" w:type="dxa"/>
            <w:left w:w="108" w:type="dxa"/>
            <w:bottom w:w="0" w:type="dxa"/>
            <w:right w:w="108" w:type="dxa"/>
          </w:tblCellMar>
        </w:tblPrEx>
        <w:trPr>
          <w:trHeight w:val="300" w:hRule="atLeast"/>
        </w:trPr>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9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中土镇</w:t>
            </w:r>
          </w:p>
        </w:tc>
        <w:tc>
          <w:tcPr>
            <w:tcW w:w="1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线路右侧</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406.3</w:t>
            </w:r>
          </w:p>
        </w:tc>
        <w:tc>
          <w:tcPr>
            <w:tcW w:w="6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村庄</w:t>
            </w:r>
          </w:p>
        </w:tc>
      </w:tr>
      <w:tr>
        <w:tblPrEx>
          <w:tblCellMar>
            <w:top w:w="0" w:type="dxa"/>
            <w:left w:w="108" w:type="dxa"/>
            <w:bottom w:w="0" w:type="dxa"/>
            <w:right w:w="108" w:type="dxa"/>
          </w:tblCellMar>
        </w:tblPrEx>
        <w:trPr>
          <w:trHeight w:val="300" w:hRule="atLeast"/>
        </w:trPr>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9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李家湾</w:t>
            </w:r>
          </w:p>
        </w:tc>
        <w:tc>
          <w:tcPr>
            <w:tcW w:w="1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线路右侧</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47.2</w:t>
            </w:r>
          </w:p>
        </w:tc>
        <w:tc>
          <w:tcPr>
            <w:tcW w:w="6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村庄</w:t>
            </w:r>
          </w:p>
        </w:tc>
      </w:tr>
      <w:tr>
        <w:tblPrEx>
          <w:tblCellMar>
            <w:top w:w="0" w:type="dxa"/>
            <w:left w:w="108" w:type="dxa"/>
            <w:bottom w:w="0" w:type="dxa"/>
            <w:right w:w="108" w:type="dxa"/>
          </w:tblCellMar>
        </w:tblPrEx>
        <w:trPr>
          <w:trHeight w:val="300" w:hRule="atLeast"/>
        </w:trPr>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9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园包梁</w:t>
            </w:r>
          </w:p>
        </w:tc>
        <w:tc>
          <w:tcPr>
            <w:tcW w:w="1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线路左侧</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87.6</w:t>
            </w:r>
          </w:p>
        </w:tc>
        <w:tc>
          <w:tcPr>
            <w:tcW w:w="6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村庄</w:t>
            </w:r>
          </w:p>
        </w:tc>
      </w:tr>
      <w:tr>
        <w:tblPrEx>
          <w:shd w:val="clear" w:color="auto" w:fill="auto"/>
          <w:tblCellMar>
            <w:top w:w="0" w:type="dxa"/>
            <w:left w:w="108" w:type="dxa"/>
            <w:bottom w:w="0" w:type="dxa"/>
            <w:right w:w="108" w:type="dxa"/>
          </w:tblCellMar>
        </w:tblPrEx>
        <w:trPr>
          <w:trHeight w:val="300" w:hRule="atLeast"/>
        </w:trPr>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9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阎家湾</w:t>
            </w:r>
          </w:p>
        </w:tc>
        <w:tc>
          <w:tcPr>
            <w:tcW w:w="1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线路穿过</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6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村庄</w:t>
            </w:r>
          </w:p>
        </w:tc>
      </w:tr>
      <w:tr>
        <w:tblPrEx>
          <w:tblCellMar>
            <w:top w:w="0" w:type="dxa"/>
            <w:left w:w="108" w:type="dxa"/>
            <w:bottom w:w="0" w:type="dxa"/>
            <w:right w:w="108" w:type="dxa"/>
          </w:tblCellMar>
        </w:tblPrEx>
        <w:trPr>
          <w:trHeight w:val="300" w:hRule="atLeast"/>
        </w:trPr>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9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人和村</w:t>
            </w:r>
          </w:p>
        </w:tc>
        <w:tc>
          <w:tcPr>
            <w:tcW w:w="1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线路右侧</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172.7</w:t>
            </w:r>
          </w:p>
        </w:tc>
        <w:tc>
          <w:tcPr>
            <w:tcW w:w="6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村庄</w:t>
            </w:r>
          </w:p>
        </w:tc>
      </w:tr>
      <w:tr>
        <w:tblPrEx>
          <w:shd w:val="clear" w:color="auto" w:fill="auto"/>
          <w:tblCellMar>
            <w:top w:w="0" w:type="dxa"/>
            <w:left w:w="108" w:type="dxa"/>
            <w:bottom w:w="0" w:type="dxa"/>
            <w:right w:w="108" w:type="dxa"/>
          </w:tblCellMar>
        </w:tblPrEx>
        <w:trPr>
          <w:trHeight w:val="300" w:hRule="atLeast"/>
        </w:trPr>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9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会民村</w:t>
            </w:r>
          </w:p>
        </w:tc>
        <w:tc>
          <w:tcPr>
            <w:tcW w:w="1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线路穿过</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6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村庄</w:t>
            </w:r>
          </w:p>
        </w:tc>
      </w:tr>
      <w:tr>
        <w:tblPrEx>
          <w:shd w:val="clear" w:color="auto" w:fill="auto"/>
          <w:tblCellMar>
            <w:top w:w="0" w:type="dxa"/>
            <w:left w:w="108" w:type="dxa"/>
            <w:bottom w:w="0" w:type="dxa"/>
            <w:right w:w="108" w:type="dxa"/>
          </w:tblCellMar>
        </w:tblPrEx>
        <w:trPr>
          <w:trHeight w:val="300" w:hRule="atLeast"/>
        </w:trPr>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9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孙家沟</w:t>
            </w:r>
          </w:p>
        </w:tc>
        <w:tc>
          <w:tcPr>
            <w:tcW w:w="1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线路穿过</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6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村庄</w:t>
            </w:r>
          </w:p>
        </w:tc>
      </w:tr>
      <w:tr>
        <w:tblPrEx>
          <w:shd w:val="clear" w:color="auto" w:fill="auto"/>
          <w:tblCellMar>
            <w:top w:w="0" w:type="dxa"/>
            <w:left w:w="108" w:type="dxa"/>
            <w:bottom w:w="0" w:type="dxa"/>
            <w:right w:w="108" w:type="dxa"/>
          </w:tblCellMar>
        </w:tblPrEx>
        <w:trPr>
          <w:trHeight w:val="300" w:hRule="atLeast"/>
        </w:trPr>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9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桅杆村</w:t>
            </w:r>
          </w:p>
        </w:tc>
        <w:tc>
          <w:tcPr>
            <w:tcW w:w="1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线路右侧</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105.1</w:t>
            </w:r>
          </w:p>
        </w:tc>
        <w:tc>
          <w:tcPr>
            <w:tcW w:w="6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村庄</w:t>
            </w:r>
          </w:p>
        </w:tc>
      </w:tr>
      <w:tr>
        <w:tblPrEx>
          <w:shd w:val="clear" w:color="auto" w:fill="auto"/>
          <w:tblCellMar>
            <w:top w:w="0" w:type="dxa"/>
            <w:left w:w="108" w:type="dxa"/>
            <w:bottom w:w="0" w:type="dxa"/>
            <w:right w:w="108" w:type="dxa"/>
          </w:tblCellMar>
        </w:tblPrEx>
        <w:trPr>
          <w:trHeight w:val="300" w:hRule="atLeast"/>
        </w:trPr>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w:t>
            </w:r>
          </w:p>
        </w:tc>
        <w:tc>
          <w:tcPr>
            <w:tcW w:w="9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桅杆小学</w:t>
            </w:r>
          </w:p>
        </w:tc>
        <w:tc>
          <w:tcPr>
            <w:tcW w:w="1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线路右侧</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156.8</w:t>
            </w:r>
          </w:p>
        </w:tc>
        <w:tc>
          <w:tcPr>
            <w:tcW w:w="6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学校</w:t>
            </w:r>
          </w:p>
        </w:tc>
      </w:tr>
      <w:tr>
        <w:tblPrEx>
          <w:tblCellMar>
            <w:top w:w="0" w:type="dxa"/>
            <w:left w:w="108" w:type="dxa"/>
            <w:bottom w:w="0" w:type="dxa"/>
            <w:right w:w="108" w:type="dxa"/>
          </w:tblCellMar>
        </w:tblPrEx>
        <w:trPr>
          <w:trHeight w:val="300" w:hRule="atLeast"/>
        </w:trPr>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9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青盐村</w:t>
            </w:r>
          </w:p>
        </w:tc>
        <w:tc>
          <w:tcPr>
            <w:tcW w:w="1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线路左侧</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114.7</w:t>
            </w:r>
          </w:p>
        </w:tc>
        <w:tc>
          <w:tcPr>
            <w:tcW w:w="6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村庄</w:t>
            </w:r>
          </w:p>
        </w:tc>
      </w:tr>
      <w:tr>
        <w:tblPrEx>
          <w:shd w:val="clear" w:color="auto" w:fill="auto"/>
          <w:tblCellMar>
            <w:top w:w="0" w:type="dxa"/>
            <w:left w:w="108" w:type="dxa"/>
            <w:bottom w:w="0" w:type="dxa"/>
            <w:right w:w="108" w:type="dxa"/>
          </w:tblCellMar>
        </w:tblPrEx>
        <w:trPr>
          <w:trHeight w:val="300" w:hRule="atLeast"/>
        </w:trPr>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9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青盐小学</w:t>
            </w:r>
          </w:p>
        </w:tc>
        <w:tc>
          <w:tcPr>
            <w:tcW w:w="1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线路左侧</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168.1</w:t>
            </w:r>
          </w:p>
        </w:tc>
        <w:tc>
          <w:tcPr>
            <w:tcW w:w="6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学校</w:t>
            </w:r>
          </w:p>
        </w:tc>
      </w:tr>
      <w:tr>
        <w:tblPrEx>
          <w:shd w:val="clear" w:color="auto" w:fill="auto"/>
          <w:tblCellMar>
            <w:top w:w="0" w:type="dxa"/>
            <w:left w:w="108" w:type="dxa"/>
            <w:bottom w:w="0" w:type="dxa"/>
            <w:right w:w="108" w:type="dxa"/>
          </w:tblCellMar>
        </w:tblPrEx>
        <w:trPr>
          <w:trHeight w:val="300" w:hRule="atLeast"/>
        </w:trPr>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9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张家湾</w:t>
            </w:r>
          </w:p>
        </w:tc>
        <w:tc>
          <w:tcPr>
            <w:tcW w:w="14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线路左侧</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153.7</w:t>
            </w:r>
          </w:p>
        </w:tc>
        <w:tc>
          <w:tcPr>
            <w:tcW w:w="6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村庄</w:t>
            </w:r>
          </w:p>
        </w:tc>
      </w:tr>
    </w:tbl>
    <w:p>
      <w:pPr>
        <w:pStyle w:val="28"/>
        <w:jc w:val="center"/>
        <w:rPr>
          <w:rFonts w:hint="default" w:ascii="Times New Roman" w:hAnsi="Times New Roman" w:eastAsia="宋体" w:cs="Times New Roman"/>
          <w:b/>
          <w:bCs/>
          <w:color w:val="auto"/>
          <w:highlight w:val="yellow"/>
          <w:lang w:val="en-US" w:eastAsia="zh-CN"/>
        </w:rPr>
      </w:pPr>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1.9.2主要环境保护目标</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工程沿线外环境关系图见</w:t>
      </w:r>
      <w:r>
        <w:rPr>
          <w:rFonts w:hint="default" w:ascii="Times New Roman" w:hAnsi="Times New Roman" w:eastAsia="宋体" w:cs="Times New Roman"/>
          <w:color w:val="auto"/>
          <w:kern w:val="0"/>
          <w:sz w:val="24"/>
          <w:szCs w:val="24"/>
          <w:highlight w:val="none"/>
          <w:lang w:val="en-US" w:eastAsia="zh-CN" w:bidi="ar"/>
        </w:rPr>
        <w:t>附图2。</w:t>
      </w:r>
      <w:r>
        <w:rPr>
          <w:rFonts w:hint="default" w:ascii="Times New Roman" w:hAnsi="Times New Roman" w:eastAsia="宋体" w:cs="Times New Roman"/>
          <w:color w:val="auto"/>
          <w:kern w:val="0"/>
          <w:sz w:val="24"/>
          <w:szCs w:val="24"/>
          <w:lang w:val="en-US" w:eastAsia="zh-CN" w:bidi="ar"/>
        </w:rPr>
        <w:t>工程沿线周围主要环境敏感点见下表：</w:t>
      </w:r>
    </w:p>
    <w:p>
      <w:pPr>
        <w:pStyle w:val="28"/>
        <w:keepNext w:val="0"/>
        <w:keepLines w:val="0"/>
        <w:pageBreakBefore w:val="0"/>
        <w:widowControl w:val="0"/>
        <w:kinsoku/>
        <w:wordWrap/>
        <w:overflowPunct/>
        <w:topLinePunct w:val="0"/>
        <w:bidi w:val="0"/>
        <w:snapToGrid/>
        <w:spacing w:line="480" w:lineRule="exact"/>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表1.9-2  拟建项目周围主要环境保护目标</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2"/>
        <w:gridCol w:w="1240"/>
        <w:gridCol w:w="1524"/>
        <w:gridCol w:w="1327"/>
        <w:gridCol w:w="2228"/>
        <w:gridCol w:w="19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832"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环境要素</w:t>
            </w:r>
          </w:p>
        </w:tc>
        <w:tc>
          <w:tcPr>
            <w:tcW w:w="1240"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保护目标</w:t>
            </w:r>
          </w:p>
        </w:tc>
        <w:tc>
          <w:tcPr>
            <w:tcW w:w="1524"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方位</w:t>
            </w:r>
          </w:p>
        </w:tc>
        <w:tc>
          <w:tcPr>
            <w:tcW w:w="1327"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距离（m）</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人数（规模）</w:t>
            </w:r>
          </w:p>
        </w:tc>
        <w:tc>
          <w:tcPr>
            <w:tcW w:w="1937"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功能执行标准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restart"/>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大气环境</w:t>
            </w: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冉家沟</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线路右侧</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73.5</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50人</w:t>
            </w:r>
          </w:p>
        </w:tc>
        <w:tc>
          <w:tcPr>
            <w:tcW w:w="1937" w:type="dxa"/>
            <w:vMerge w:val="restart"/>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sz w:val="21"/>
                <w:szCs w:val="21"/>
                <w:lang w:val="en-US" w:eastAsia="zh-CN"/>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阎家沟</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线路左侧</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190.3</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30人</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李家湾</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线路右侧</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47.2</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50人</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园包梁</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线路左侧</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87.6</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40人</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阎家湾</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线路穿过</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50人</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人和村</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线路右侧</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172.7</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100人</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会民村</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线路穿过</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120人</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孙家沟</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线路穿过</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60人</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桅杆村</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线路右侧</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105.1</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100人</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桅杆小学</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线路右侧</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156.8</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200人</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青盐村</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线路左侧</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114.7</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150</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青盐小学</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线路左侧</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168.1</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200</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张家湾</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线路左侧</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153.7</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60</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restart"/>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声环境</w:t>
            </w: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冉家沟</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线路右侧</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73.5</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50人</w:t>
            </w:r>
          </w:p>
        </w:tc>
        <w:tc>
          <w:tcPr>
            <w:tcW w:w="1937" w:type="dxa"/>
            <w:vMerge w:val="restart"/>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《声环境质量标准》（GB 3096-2008）2类标准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李家湾</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线路右侧</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47.2</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50人</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园包梁</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线路左侧</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87.6</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40人</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阎家湾</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线路穿过</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50人</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会民村</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线路穿过</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120人</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孙家沟</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线路穿过</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60人</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桅杆小学</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线路右侧</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156.8</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200人</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青盐小学</w:t>
            </w:r>
          </w:p>
        </w:tc>
        <w:tc>
          <w:tcPr>
            <w:tcW w:w="1524"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线路左侧</w:t>
            </w:r>
          </w:p>
        </w:tc>
        <w:tc>
          <w:tcPr>
            <w:tcW w:w="1327" w:type="dxa"/>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168.1</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200人</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restart"/>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地表水</w:t>
            </w:r>
          </w:p>
        </w:tc>
        <w:tc>
          <w:tcPr>
            <w:tcW w:w="1240"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东河</w:t>
            </w:r>
          </w:p>
        </w:tc>
        <w:tc>
          <w:tcPr>
            <w:tcW w:w="1524"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穿过</w:t>
            </w:r>
          </w:p>
        </w:tc>
        <w:tc>
          <w:tcPr>
            <w:tcW w:w="1327"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937" w:type="dxa"/>
            <w:vMerge w:val="restart"/>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《地表水环境质量标准》</w:t>
            </w:r>
          </w:p>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(GB3838-2002)Ⅲ类标准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32"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40"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青盐沟</w:t>
            </w:r>
          </w:p>
        </w:tc>
        <w:tc>
          <w:tcPr>
            <w:tcW w:w="1524"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穿过</w:t>
            </w:r>
          </w:p>
        </w:tc>
        <w:tc>
          <w:tcPr>
            <w:tcW w:w="1327"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2228"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937" w:type="dxa"/>
            <w:vMerge w:val="continue"/>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6" w:hRule="atLeast"/>
        </w:trPr>
        <w:tc>
          <w:tcPr>
            <w:tcW w:w="832"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地下水</w:t>
            </w:r>
          </w:p>
        </w:tc>
        <w:tc>
          <w:tcPr>
            <w:tcW w:w="6319" w:type="dxa"/>
            <w:gridSpan w:val="4"/>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潜水含水层</w:t>
            </w:r>
          </w:p>
        </w:tc>
        <w:tc>
          <w:tcPr>
            <w:tcW w:w="1937" w:type="dxa"/>
            <w:vAlign w:val="center"/>
          </w:tcPr>
          <w:p>
            <w:pPr>
              <w:pStyle w:val="2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《地下水质量标准》（GB/T14848-2017）中的Ⅲ类标准</w:t>
            </w:r>
          </w:p>
        </w:tc>
      </w:tr>
    </w:tbl>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highlight w:val="none"/>
          <w:lang w:val="en-US" w:eastAsia="zh-CN"/>
        </w:rPr>
        <w:t>由上表可知：本工程主要环境保护目标为工程沿线散居住户以及学校。本工程运营期正常工况下本身不对环境排放污染，工程本身对环境影响较小。</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工程建设对环境影响主要表现在施工期，因此为保护环境，降低环境影响，施工期产生的扬尘、施工废水、施工机械噪声以及水体流失、施工人员产生的生活污水、垃圾等，严格按照本报告关于施工期采取的污染防治措施及拟建项目水保方案提出的水体流失污染防治措施，认真落实、执行，施工期污染影响可得到有效控制。因此，伴随着施工期的结束，大部分影响是可恢复的。</w:t>
      </w:r>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1.9.3项目选址与周边环境敏感点的相容性分析</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据调查，本工程选址位于苍溪县，本工程拟选址主要环境保护目标为</w:t>
      </w:r>
      <w:r>
        <w:rPr>
          <w:rFonts w:hint="default" w:ascii="Times New Roman" w:hAnsi="Times New Roman" w:eastAsia="宋体" w:cs="Times New Roman"/>
          <w:color w:val="auto"/>
          <w:highlight w:val="none"/>
          <w:lang w:val="en-US" w:eastAsia="zh-CN"/>
        </w:rPr>
        <w:t>工程沿线</w:t>
      </w:r>
      <w:r>
        <w:rPr>
          <w:rFonts w:hint="default" w:ascii="Times New Roman" w:hAnsi="Times New Roman" w:eastAsia="宋体" w:cs="Times New Roman"/>
          <w:color w:val="auto"/>
          <w:lang w:val="en-US" w:eastAsia="zh-CN"/>
        </w:rPr>
        <w:t>散居住户及学校。</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（1）工程沿线散居住户</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据调查，工程沿线外环境相对单一，与周围环境敏感点无明显制约因素。</w:t>
      </w:r>
    </w:p>
    <w:p>
      <w:pPr>
        <w:keepNext w:val="0"/>
        <w:keepLines w:val="0"/>
        <w:pageBreakBefore w:val="0"/>
        <w:widowControl/>
        <w:suppressLineNumbers w:val="0"/>
        <w:kinsoku/>
        <w:wordWrap/>
        <w:overflowPunct/>
        <w:topLinePunct w:val="0"/>
        <w:autoSpaceDE/>
        <w:autoSpaceDN/>
        <w:bidi w:val="0"/>
        <w:spacing w:line="480" w:lineRule="exact"/>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本工程运营期管段本身不排放污染，新建站场有少量生活污水，经污水处理设施处理后用于绿化，不外排，不会影响周边住户。</w:t>
      </w:r>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1.9.4选址合理性结论</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1.9.4.1管道路由选择原则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根据《输气管道工程设计规范》（GB50251-2015）线路选择要求，结合本工程线路所经过地区的地形、地貌、生态环境、交通、人文、经济、规划等条件，在线路走向方案选择中主要遵循以下原则：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1、严格执行国家法律法规和强制性标准规定要求，做到合法合规，参照执行国内其他行业的先进标准和成熟技术；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2、本着“合法合规、安全环保、便于施工、利于运营、经济合理、工程量可控”的方针进行设计；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3、路由走向应根据地形、地貌、工程地质、沿线进气、供气点的地理位置以及交通运输、动力等条件经多方案比选后确定；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4、线路应尽量顺直、平缓，以缩短线路长度，并尽量减少与天然和人工障碍物交叉；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5、尽量靠近或沿现有公路敷设（按有关规范、标准规定，保持一定间距），以便于施工和管理；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6、河流大、中型穿越工程和输气站位置的选择，应符合线路总体走向。线路局部走向可根据河流大、中型穿越工程和输气站的位置进行调整；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7、宜避开多年生经济作物区域和重要的农田基础建设设施；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8、线路应避开重要的军事设施、易燃易爆仓库、国家重点文物保护区；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9、考虑管道服役年限内，管道拟通过地区的可能发展变化，合理确定线位与地区等级；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10、线路应避开飞机场、铁路车站、海（河）港码头；尽可能避开城镇规划区，动、植物自然保护区等区域，当受条件限制需要在上述区域内通过时，必须征得主管部门同意，并采取安全保护措施；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11、除管道专用的隧道、桥梁外，管线严禁通过铁路或公路的隧道、桥梁；</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12、管线应避开滑坡体、并尽量躲开崩塌、泥石流、沉陷等不良工程地质区、矿产资源区、严重危及管道安全的高烈度及地震频发地震区和大型活动断裂带。当受条件限制必须通过时，应采取防护措施并选择合适位置，缩小通过距离；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13、尽量避免对自然环境和生态平衡的破坏，防止水土流失，注意有利于自然环境和生态平衡的恢复，保护沿线人文景观，使线路工程与自然环境、城市生态相协调。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14、线路应尽量避开饮用水地表水源和饮用水地下水源保护区。 </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1.9.4.2不同地貌选线原则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工程线路途经地区的地貌类型以低山、丘陵地貌为主，局部为河谷地貌（东河）。不同的地形地貌和人文环境差异较大，影响线路走向的因素较多。因此，应根据管道线路走向途经地形地貌和人文环境的特点，制定不同线路段的选线原则，在确保管道线路安全、稳定、可靠的条件下，尽量控制和减少线路工程量，以降低投资</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1、山区、丘陵地段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山区选线应提前了解当地地质灾害的发生频率和多发地域，落实山间拦水坝和小水库等已建及规划的农垦水利工程、采石场、采矿区、林场、经济作物的种植面积等对路由方案有影响的因素；根据这些因素的影响大小及时调整路由方案，以保证线路方案的可行性；</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（2）山区选线应提前了解当地道路交通情况，线路应尽可能依托已建公路以方便施工进场和后期管理；在没有道路的山区，应考虑修建伴行路；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（3）对于地形开阔、流水畅通的山谷，管线宜在山谷敷设；对于汇水面积大、地形狭窄的山谷，管线宜在山梁敷设；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（4）管线不宜顺横坡敷设和斜切坡地敷设；垂直等高线敷设时，宜沿山脊敷设，避开较发育冲沟；坡角&gt;15°时，应考虑增加施工措施；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（5）管线沿山体台地敷设时应尽量贴台地内侧，距离台地外侧的最小距离不宜小于 10m；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6）管线在山区内与河谷并行时，优先选择在河谷的二阶台地或二阶台地以上的区域，其次可选择在沿河谷不易受冲刷或冲刷较轻的一岸敷设；当受地形限制需要在河道内敷设时，管道应埋设到稳定层下，并考虑抗漂浮措施；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（7）线路需越岭时，当山岭高度不大，坡度较缓，具备大型管道通过条件，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可选择从垭口翻越通过；</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（8）山区和丘陵区要注意避开矿区；尽量避开密集的林带，难以避开时，应选择林带较短的地带通过。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2、林区段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（1）应避开国家Ⅰ级保护林地；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（2）应避让大片林区，选择相对比较稀疏、低矮林区通过；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（3）尽量依托现有道路敷设，减少道路修筑，减少林地砍伐；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（4）尽量缩短通过林区的长度；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（5）充分调研林业局和林场，尊重其对路由的意见；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（6）无法避开林区地段，尽量避开多年生林木、次生林，选择幼林、经济林区通过；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（7）必要时，采用隧道的穿越方式避开密集林区。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3、高后果区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（1）高后果区选线首先应掌握其规划区的资料，并充分与当地主管部门沟通，结合当地规划进行管道选线，把管道线位纳入地方规划中；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（2）在经过规划区时可选择交通线绿化带、不同功能区块的边界选择线位；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（3）尽量避免从靠近城镇的大块平地中部通过，可选择沿现有公路、铁路和高压走廊敷设，在征得公路管理部门的同意下，尽量靠近公路控制带敷设；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（4）沿村镇边缘地区选择线路应尽可能远离大片房屋聚集区；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（5）管道应尽量远离加油站、油库等易燃易爆场所，且尽量选择从上述场所常年最大风频的下风向通过；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6）与医院、学校、养老院等《油气输送管道完整性管理规范》规定的特定场所间距尽量保证不小于潜在影响半径，受规划、现场地形等条件影响无法满足的，管道管道应选择远离安全通道、疏散出口的地区通过</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（7）对难以避让的高后果区段，应提出切实可行、安全可靠的处理措施。划分时，先把高后果区列表划分，再列表划分特殊场所和密集村落、居住区；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（8）合理优化管道路由，尽量减少高后果区的穿越长度。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4、水网地区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（1）河流水网地区管线，宜先在最新的大比例尺地形图上选出线路宏观走向方案。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（2）河流水网区选线应尽量减少与水道的交叉次数。需针对现场具体情况，经技术、经济比较后确定合理的线路。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（3）河流水网区房屋多沿河岸修建，在不可避免拆迁的情况下，河流穿越点的选择应尽量选择孤立平房的地方通过，尽量减少拆迁量。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河流大中型穿（跨）越点应选在顺直河段；在弯道附近两岸地质均属稳定性地质（如：岩石）、或两岸均筑有堤坝、岸坡稳定的情况下，穿（跨）越点可选在弯道上游的较窄处。若有江心岛，中小河流宜避开，河流可利用稳定的江心岛。 </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 xml:space="preserve">（5）河流水网区线路应尽量避开鱼塘区。当鱼塘区的连片长度较长时，可考虑采用定向钻穿越方案，同时注意穿越两端是否有定向钻穿越的施工场地。 </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lang w:val="en-US" w:eastAsia="zh-CN"/>
        </w:rPr>
        <w:t xml:space="preserve">1.9.4.3 《可研》提出管道路由比选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1、总体管线走向方案比选</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中贵线与元坝-普光管道联通工程项目管道全线位于苍溪县境内，管道起于元坝净化厂内的元坝首站，止于陵江清管站，全线长度约 </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。根据工程可研报告，本工程管线有北线、南线、中线三个方案进行比较。</w:t>
      </w:r>
    </w:p>
    <w:tbl>
      <w:tblPr>
        <w:tblStyle w:val="25"/>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57" w:hRule="atLeast"/>
          <w:jc w:val="center"/>
        </w:trPr>
        <w:tc>
          <w:tcPr>
            <w:tcW w:w="8580" w:type="dxa"/>
            <w:tcBorders>
              <w:tl2br w:val="nil"/>
              <w:tr2bl w:val="nil"/>
            </w:tcBorders>
          </w:tcPr>
          <w:p>
            <w:pPr>
              <w:keepNext w:val="0"/>
              <w:keepLines w:val="0"/>
              <w:widowControl/>
              <w:suppressLineNumbers w:val="0"/>
              <w:ind w:left="0" w:leftChars="0" w:firstLine="0" w:firstLineChars="0"/>
              <w:jc w:val="left"/>
              <w:rPr>
                <w:rFonts w:hint="default" w:ascii="Times New Roman" w:hAnsi="Times New Roman" w:eastAsia="宋体" w:cs="Times New Roman"/>
                <w:color w:val="auto"/>
                <w:vertAlign w:val="baseline"/>
              </w:rPr>
            </w:pPr>
            <w:r>
              <w:rPr>
                <w:rFonts w:hint="default" w:ascii="Times New Roman" w:hAnsi="Times New Roman" w:eastAsia="宋体" w:cs="Times New Roman"/>
                <w:color w:val="auto"/>
              </w:rPr>
              <w:drawing>
                <wp:anchor distT="0" distB="0" distL="114300" distR="114300" simplePos="0" relativeHeight="251661312" behindDoc="0" locked="0" layoutInCell="1" allowOverlap="1">
                  <wp:simplePos x="0" y="0"/>
                  <wp:positionH relativeFrom="column">
                    <wp:posOffset>139700</wp:posOffset>
                  </wp:positionH>
                  <wp:positionV relativeFrom="paragraph">
                    <wp:posOffset>16510</wp:posOffset>
                  </wp:positionV>
                  <wp:extent cx="5103495" cy="2791460"/>
                  <wp:effectExtent l="0" t="0" r="1905" b="8890"/>
                  <wp:wrapTopAndBottom/>
                  <wp:docPr id="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pic:cNvPicPr>
                            <a:picLocks noChangeAspect="1"/>
                          </pic:cNvPicPr>
                        </pic:nvPicPr>
                        <pic:blipFill>
                          <a:blip r:embed="rId11"/>
                          <a:srcRect l="14402" t="14887" r="8485" b="10123"/>
                          <a:stretch>
                            <a:fillRect/>
                          </a:stretch>
                        </pic:blipFill>
                        <pic:spPr>
                          <a:xfrm>
                            <a:off x="0" y="0"/>
                            <a:ext cx="5103495" cy="2791460"/>
                          </a:xfrm>
                          <a:prstGeom prst="rect">
                            <a:avLst/>
                          </a:prstGeom>
                          <a:noFill/>
                          <a:ln>
                            <a:noFill/>
                          </a:ln>
                        </pic:spPr>
                      </pic:pic>
                    </a:graphicData>
                  </a:graphic>
                </wp:anchor>
              </w:drawing>
            </w:r>
          </w:p>
        </w:tc>
      </w:tr>
    </w:tbl>
    <w:p>
      <w:pPr>
        <w:keepNext w:val="0"/>
        <w:keepLines w:val="0"/>
        <w:widowControl/>
        <w:suppressLineNumbers w:val="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图1.9-2 宏观走向北线、中线、南线方案比选示意图</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北线方案（13.5km）：元坝首站-麻溪浩村-裕兴村-白溪村-桅杆村-青盐村-陵江清管站；中线方案（12.5km）：元坝首站-麻溪浩村-闫家湾-杨家坪-桅杆村-青盐村-陵江清管站；南线方案（</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）：元坝首站-麻溪浩村-人和村-全民村-桅杆村-青盐村-陵江清管站。上述三个方案的线路具体走向现分述如下。</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w:t>
      </w:r>
      <w:r>
        <w:rPr>
          <w:rFonts w:hint="default" w:ascii="Times New Roman" w:hAnsi="Times New Roman" w:eastAsia="宋体" w:cs="Times New Roman"/>
          <w:color w:val="auto"/>
          <w:kern w:val="0"/>
          <w:sz w:val="24"/>
          <w:szCs w:val="24"/>
          <w:lang w:val="en-US" w:eastAsia="zh-CN" w:bidi="ar"/>
        </w:rPr>
        <w:t xml:space="preserve">北线方案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管道起于元坝首站，线路出站后向南敷设，经麻溪浩村，在丹道沟西南侧隧道穿越东河后，在裕兴村南侧向西敷设，敷设至白溪村东侧后，折向西南方向敷设至杨家坪，后继续向西敷设，经桅杆村、青盐村，最后止于陵江清管站。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本方案线路长度为13.5km，河流大型穿越1次，河流及冲沟小型穿越20次，乡村公路20次，机耕道20次。 </w:t>
      </w:r>
    </w:p>
    <w:p>
      <w:pPr>
        <w:pStyle w:val="2"/>
        <w:jc w:val="both"/>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段部分地形起伏大，冲沟分布较多，冲沟狭窄，两岸岸坡陡，滑坡、危岩与危石发育，汛期水流易涨易落，洪水冲刷强烈，管线顺山脊敷设上山较多，地形起伏大，护坡堡坎工程量大，管道的施工难度、潜在的安全隐患多。</w:t>
      </w:r>
    </w:p>
    <w:tbl>
      <w:tblPr>
        <w:tblStyle w:val="2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1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74" w:type="dxa"/>
            <w:tcBorders>
              <w:tl2br w:val="nil"/>
              <w:tr2bl w:val="nil"/>
            </w:tcBorders>
          </w:tcPr>
          <w:p>
            <w:pPr>
              <w:rPr>
                <w:rFonts w:hint="default" w:ascii="Times New Roman" w:hAnsi="Times New Roman" w:eastAsia="宋体" w:cs="Times New Roman"/>
                <w:color w:val="auto"/>
                <w:kern w:val="0"/>
                <w:sz w:val="24"/>
                <w:szCs w:val="24"/>
                <w:vertAlign w:val="baseline"/>
                <w:lang w:val="en-US" w:eastAsia="zh-CN" w:bidi="ar"/>
              </w:rPr>
            </w:pPr>
            <w:r>
              <w:rPr>
                <w:rFonts w:hint="default" w:ascii="Times New Roman" w:hAnsi="Times New Roman" w:eastAsia="宋体" w:cs="Times New Roman"/>
                <w:color w:val="auto"/>
              </w:rPr>
              <w:drawing>
                <wp:anchor distT="0" distB="0" distL="114300" distR="114300" simplePos="0" relativeHeight="251663360" behindDoc="0" locked="0" layoutInCell="1" allowOverlap="1">
                  <wp:simplePos x="0" y="0"/>
                  <wp:positionH relativeFrom="column">
                    <wp:posOffset>-123825</wp:posOffset>
                  </wp:positionH>
                  <wp:positionV relativeFrom="page">
                    <wp:posOffset>0</wp:posOffset>
                  </wp:positionV>
                  <wp:extent cx="5805170" cy="2787650"/>
                  <wp:effectExtent l="0" t="0" r="11430" b="6350"/>
                  <wp:wrapTopAndBottom/>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12"/>
                          <a:srcRect l="18645" t="17269" r="13509" b="24811"/>
                          <a:stretch>
                            <a:fillRect/>
                          </a:stretch>
                        </pic:blipFill>
                        <pic:spPr>
                          <a:xfrm>
                            <a:off x="0" y="0"/>
                            <a:ext cx="5805170" cy="2787650"/>
                          </a:xfrm>
                          <a:prstGeom prst="rect">
                            <a:avLst/>
                          </a:prstGeom>
                          <a:noFill/>
                          <a:ln>
                            <a:noFill/>
                          </a:ln>
                        </pic:spPr>
                      </pic:pic>
                    </a:graphicData>
                  </a:graphic>
                </wp:anchor>
              </w:drawing>
            </w:r>
          </w:p>
        </w:tc>
      </w:tr>
    </w:tbl>
    <w:p>
      <w:pPr>
        <w:keepNext w:val="0"/>
        <w:keepLines w:val="0"/>
        <w:widowControl/>
        <w:suppressLineNumbers w:val="0"/>
        <w:jc w:val="center"/>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图1.9-2 北线方案走向意图</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2）中线方案 </w:t>
      </w:r>
    </w:p>
    <w:tbl>
      <w:tblPr>
        <w:tblStyle w:val="2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1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74" w:type="dxa"/>
            <w:tcBorders>
              <w:tl2br w:val="nil"/>
              <w:tr2bl w:val="nil"/>
            </w:tcBorders>
          </w:tcPr>
          <w:p>
            <w:pPr>
              <w:keepNext w:val="0"/>
              <w:keepLines w:val="0"/>
              <w:widowControl/>
              <w:suppressLineNumbers w:val="0"/>
              <w:jc w:val="left"/>
              <w:rPr>
                <w:rFonts w:hint="default" w:ascii="Times New Roman" w:hAnsi="Times New Roman" w:eastAsia="宋体" w:cs="Times New Roman"/>
                <w:color w:val="auto"/>
                <w:vertAlign w:val="baseline"/>
              </w:rPr>
            </w:pPr>
            <w:r>
              <w:rPr>
                <w:rFonts w:hint="default" w:ascii="Times New Roman" w:hAnsi="Times New Roman" w:eastAsia="宋体" w:cs="Times New Roman"/>
                <w:color w:val="auto"/>
              </w:rPr>
              <w:drawing>
                <wp:anchor distT="0" distB="0" distL="114300" distR="114300" simplePos="0" relativeHeight="251662336" behindDoc="0" locked="0" layoutInCell="1" allowOverlap="1">
                  <wp:simplePos x="0" y="0"/>
                  <wp:positionH relativeFrom="column">
                    <wp:posOffset>321945</wp:posOffset>
                  </wp:positionH>
                  <wp:positionV relativeFrom="paragraph">
                    <wp:posOffset>228600</wp:posOffset>
                  </wp:positionV>
                  <wp:extent cx="5297170" cy="2577465"/>
                  <wp:effectExtent l="0" t="0" r="17780" b="13335"/>
                  <wp:wrapTopAndBottom/>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3"/>
                          <a:srcRect l="18533" t="24811" r="19315" b="21437"/>
                          <a:stretch>
                            <a:fillRect/>
                          </a:stretch>
                        </pic:blipFill>
                        <pic:spPr>
                          <a:xfrm>
                            <a:off x="0" y="0"/>
                            <a:ext cx="5297170" cy="2577465"/>
                          </a:xfrm>
                          <a:prstGeom prst="rect">
                            <a:avLst/>
                          </a:prstGeom>
                          <a:noFill/>
                          <a:ln>
                            <a:noFill/>
                          </a:ln>
                        </pic:spPr>
                      </pic:pic>
                    </a:graphicData>
                  </a:graphic>
                </wp:anchor>
              </w:drawing>
            </w:r>
          </w:p>
        </w:tc>
      </w:tr>
    </w:tbl>
    <w:p>
      <w:pPr>
        <w:keepNext w:val="0"/>
        <w:keepLines w:val="0"/>
        <w:widowControl/>
        <w:suppressLineNumbers w:val="0"/>
        <w:jc w:val="center"/>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图1.9-3 中线方案走向意图</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本工程起点位于元坝首站，线路出站后向南敷设，经麻溪浩村、人和村，在宋家坝，由于东河两侧的高差较大，拟以隧道的方式进行穿越，后经杨家坪、桅杆村、青盐村，最后止于陵江清管站。</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段线路长度约12.5km，河流大型穿越1次，沟渠和小河穿越16次，乡村公路穿越27次，碎石路和机耕道穿越15次。该方案多沿线交通情况较好，除人和村-宋家坝及孙家沟-青盐沟无公路依托外，需要新修部分道路中线方案多属丘陵和低山地貌，间有山间冲沟等地貌分布，地形波状起伏，局部段需翻上越岭，但地势相对和缓，零星分布危岩危石，但经过进一步优化可以加以绕避，以确保管道建设的安全。部分管线沿半山斜坡地带敷设，在土层较厚、斜坡坡度较大情况下，可能产生滑坡与崩塌等地质灾害。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3）南线方案 </w:t>
      </w:r>
    </w:p>
    <w:tbl>
      <w:tblPr>
        <w:tblStyle w:val="25"/>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1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174" w:type="dxa"/>
            <w:tcBorders>
              <w:tl2br w:val="nil"/>
              <w:tr2bl w:val="nil"/>
            </w:tcBorders>
          </w:tcPr>
          <w:p>
            <w:pPr>
              <w:keepNext w:val="0"/>
              <w:keepLines w:val="0"/>
              <w:widowControl/>
              <w:suppressLineNumbers w:val="0"/>
              <w:jc w:val="left"/>
              <w:rPr>
                <w:rFonts w:hint="default" w:ascii="Times New Roman" w:hAnsi="Times New Roman" w:eastAsia="宋体" w:cs="Times New Roman"/>
                <w:color w:val="auto"/>
                <w:vertAlign w:val="baseline"/>
              </w:rPr>
            </w:pPr>
            <w:r>
              <w:rPr>
                <w:rFonts w:hint="default" w:ascii="Times New Roman" w:hAnsi="Times New Roman" w:eastAsia="宋体" w:cs="Times New Roman"/>
                <w:color w:val="auto"/>
              </w:rPr>
              <w:drawing>
                <wp:anchor distT="0" distB="0" distL="114300" distR="114300" simplePos="0" relativeHeight="251664384" behindDoc="0" locked="0" layoutInCell="1" allowOverlap="1">
                  <wp:simplePos x="0" y="0"/>
                  <wp:positionH relativeFrom="column">
                    <wp:posOffset>237490</wp:posOffset>
                  </wp:positionH>
                  <wp:positionV relativeFrom="paragraph">
                    <wp:posOffset>254000</wp:posOffset>
                  </wp:positionV>
                  <wp:extent cx="5495290" cy="2733675"/>
                  <wp:effectExtent l="0" t="0" r="10160" b="9525"/>
                  <wp:wrapTopAndBottom/>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14"/>
                          <a:srcRect l="19203" t="24216" r="16412" b="18857"/>
                          <a:stretch>
                            <a:fillRect/>
                          </a:stretch>
                        </pic:blipFill>
                        <pic:spPr>
                          <a:xfrm>
                            <a:off x="0" y="0"/>
                            <a:ext cx="5495290" cy="2733675"/>
                          </a:xfrm>
                          <a:prstGeom prst="rect">
                            <a:avLst/>
                          </a:prstGeom>
                          <a:noFill/>
                          <a:ln>
                            <a:noFill/>
                          </a:ln>
                        </pic:spPr>
                      </pic:pic>
                    </a:graphicData>
                  </a:graphic>
                </wp:anchor>
              </w:drawing>
            </w:r>
          </w:p>
        </w:tc>
      </w:tr>
    </w:tbl>
    <w:p>
      <w:pPr>
        <w:keepNext w:val="0"/>
        <w:keepLines w:val="0"/>
        <w:widowControl/>
        <w:suppressLineNumbers w:val="0"/>
        <w:jc w:val="center"/>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图1.9-4 南线方案走向意图</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线路出站后，向南敷设，途经冉家沟、圆包梁，在人和村西侧，由于东河两侧地形相对平缓，拟以定向钻方式进行穿越，后经全民村、桅杆村、青盐村，最后止于陵江清管站。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本段线路长度约</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，河流大型穿越1次，沟渠和小河穿越15次，乡村公路穿越26次，碎石路和机耕道穿越18次。该方案多沿线交通情况较好，除孙家沟-青盐沟无公路依托外，需要新修部分道路。</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南线方案多属丘陵和低山地貌，间有山间冲沟等地貌分布，地形波状起伏，局部段需翻上越岭，但地势相对和缓，零星分布危岩危石，但经过进一步优化可以加以绕避，以确保管道建设的安全。部分管线沿半山斜坡地带敷设，在土层较厚、斜坡坡度较大情况下，可能产生滑坡与崩塌等地质灾害。</w:t>
      </w:r>
    </w:p>
    <w:p>
      <w:pPr>
        <w:keepNext w:val="0"/>
        <w:keepLines w:val="0"/>
        <w:widowControl/>
        <w:suppressLineNumbers w:val="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表1.9-3主要工程量对比表</w:t>
      </w:r>
    </w:p>
    <w:tbl>
      <w:tblPr>
        <w:tblStyle w:val="2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12"/>
        <w:gridCol w:w="906"/>
        <w:gridCol w:w="1438"/>
        <w:gridCol w:w="971"/>
        <w:gridCol w:w="1232"/>
        <w:gridCol w:w="1232"/>
        <w:gridCol w:w="1232"/>
        <w:gridCol w:w="1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560"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1769" w:type="pct"/>
            <w:gridSpan w:val="3"/>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项目</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北线方案</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中线方案</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南线方案</w:t>
            </w:r>
          </w:p>
        </w:tc>
        <w:tc>
          <w:tcPr>
            <w:tcW w:w="632"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560"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p>
        </w:tc>
        <w:tc>
          <w:tcPr>
            <w:tcW w:w="440"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管道</w:t>
            </w:r>
          </w:p>
        </w:tc>
        <w:tc>
          <w:tcPr>
            <w:tcW w:w="1329"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干线</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13.5</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12.5</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14.6</w:t>
            </w:r>
          </w:p>
        </w:tc>
        <w:tc>
          <w:tcPr>
            <w:tcW w:w="632"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管径D1016mm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560" w:type="pct"/>
            <w:vMerge w:val="continue"/>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p>
        </w:tc>
        <w:tc>
          <w:tcPr>
            <w:tcW w:w="440"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792"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地形地貌</w:t>
            </w:r>
          </w:p>
        </w:tc>
        <w:tc>
          <w:tcPr>
            <w:tcW w:w="536"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低山（km）</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6.4</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6.2</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5.5</w:t>
            </w:r>
          </w:p>
        </w:tc>
        <w:tc>
          <w:tcPr>
            <w:tcW w:w="632"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560" w:type="pct"/>
            <w:vMerge w:val="continue"/>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p>
        </w:tc>
        <w:tc>
          <w:tcPr>
            <w:tcW w:w="440"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792"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36"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深丘（km）</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7.1</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6.3</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9.1</w:t>
            </w:r>
          </w:p>
        </w:tc>
        <w:tc>
          <w:tcPr>
            <w:tcW w:w="632"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560"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2</w:t>
            </w:r>
          </w:p>
        </w:tc>
        <w:tc>
          <w:tcPr>
            <w:tcW w:w="440"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穿越</w:t>
            </w:r>
          </w:p>
        </w:tc>
        <w:tc>
          <w:tcPr>
            <w:tcW w:w="1329" w:type="pct"/>
            <w:gridSpan w:val="2"/>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河流大型（m/次）</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1250/1</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1200/1</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1300/1</w:t>
            </w:r>
          </w:p>
        </w:tc>
        <w:tc>
          <w:tcPr>
            <w:tcW w:w="632"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560" w:type="pct"/>
            <w:vMerge w:val="continue"/>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440" w:type="pct"/>
            <w:vMerge w:val="continue"/>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1329" w:type="pct"/>
            <w:gridSpan w:val="2"/>
            <w:vMerge w:val="continue"/>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隧道</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隧道</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定向钻</w:t>
            </w:r>
          </w:p>
        </w:tc>
        <w:tc>
          <w:tcPr>
            <w:tcW w:w="632"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560"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1769" w:type="pct"/>
            <w:gridSpan w:val="3"/>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困难段</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2.8</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w:t>
            </w:r>
          </w:p>
        </w:tc>
        <w:tc>
          <w:tcPr>
            <w:tcW w:w="632"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560"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440"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土方量</w:t>
            </w:r>
          </w:p>
        </w:tc>
        <w:tc>
          <w:tcPr>
            <w:tcW w:w="1329"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土方量（10</w:t>
            </w:r>
            <w:r>
              <w:rPr>
                <w:rFonts w:hint="default" w:ascii="Times New Roman" w:hAnsi="Times New Roman" w:eastAsia="宋体" w:cs="Times New Roman"/>
                <w:i w:val="0"/>
                <w:iCs w:val="0"/>
                <w:color w:val="auto"/>
                <w:kern w:val="0"/>
                <w:sz w:val="21"/>
                <w:szCs w:val="21"/>
                <w:u w:val="none"/>
                <w:vertAlign w:val="superscript"/>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5.11</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4.94</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5.35</w:t>
            </w:r>
          </w:p>
        </w:tc>
        <w:tc>
          <w:tcPr>
            <w:tcW w:w="632"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560" w:type="pct"/>
            <w:vMerge w:val="continue"/>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p>
        </w:tc>
        <w:tc>
          <w:tcPr>
            <w:tcW w:w="440"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329"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石方量（10</w:t>
            </w:r>
            <w:r>
              <w:rPr>
                <w:rFonts w:hint="default" w:ascii="Times New Roman" w:hAnsi="Times New Roman" w:eastAsia="宋体" w:cs="Times New Roman"/>
                <w:i w:val="0"/>
                <w:iCs w:val="0"/>
                <w:color w:val="auto"/>
                <w:kern w:val="0"/>
                <w:sz w:val="21"/>
                <w:szCs w:val="21"/>
                <w:u w:val="none"/>
                <w:vertAlign w:val="superscript"/>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10.28</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9.64</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10.48</w:t>
            </w:r>
          </w:p>
        </w:tc>
        <w:tc>
          <w:tcPr>
            <w:tcW w:w="632"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560" w:type="pct"/>
            <w:vMerge w:val="continue"/>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p>
        </w:tc>
        <w:tc>
          <w:tcPr>
            <w:tcW w:w="440"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329" w:type="pct"/>
            <w:gridSpan w:val="2"/>
            <w:tcBorders>
              <w:tl2br w:val="nil"/>
              <w:tr2bl w:val="nil"/>
            </w:tcBorders>
            <w:shd w:val="clear" w:color="auto" w:fill="auto"/>
            <w:vAlign w:val="center"/>
          </w:tcPr>
          <w:p>
            <w:pPr>
              <w:keepNext w:val="0"/>
              <w:keepLines w:val="0"/>
              <w:widowControl/>
              <w:suppressLineNumbers w:val="0"/>
              <w:tabs>
                <w:tab w:val="left" w:pos="458"/>
                <w:tab w:val="center" w:pos="1389"/>
              </w:tabs>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清淤量（10</w:t>
            </w:r>
            <w:r>
              <w:rPr>
                <w:rFonts w:hint="default" w:ascii="Times New Roman" w:hAnsi="Times New Roman" w:eastAsia="宋体" w:cs="Times New Roman"/>
                <w:i w:val="0"/>
                <w:iCs w:val="0"/>
                <w:color w:val="auto"/>
                <w:kern w:val="0"/>
                <w:sz w:val="21"/>
                <w:szCs w:val="21"/>
                <w:u w:val="none"/>
                <w:vertAlign w:val="superscript"/>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0.23</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0.21</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0.26</w:t>
            </w:r>
          </w:p>
        </w:tc>
        <w:tc>
          <w:tcPr>
            <w:tcW w:w="632"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560" w:type="pct"/>
            <w:vMerge w:val="continue"/>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p>
        </w:tc>
        <w:tc>
          <w:tcPr>
            <w:tcW w:w="440"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329"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细土回填（10</w:t>
            </w:r>
            <w:r>
              <w:rPr>
                <w:rFonts w:hint="default" w:ascii="Times New Roman" w:hAnsi="Times New Roman" w:eastAsia="宋体" w:cs="Times New Roman"/>
                <w:i w:val="0"/>
                <w:iCs w:val="0"/>
                <w:color w:val="auto"/>
                <w:kern w:val="0"/>
                <w:sz w:val="21"/>
                <w:szCs w:val="21"/>
                <w:u w:val="none"/>
                <w:vertAlign w:val="superscript"/>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0.41</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0.38</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0.44</w:t>
            </w:r>
          </w:p>
        </w:tc>
        <w:tc>
          <w:tcPr>
            <w:tcW w:w="632"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560" w:type="pct"/>
            <w:vMerge w:val="continue"/>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p>
        </w:tc>
        <w:tc>
          <w:tcPr>
            <w:tcW w:w="440"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329"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作业带劈方（10</w:t>
            </w:r>
            <w:r>
              <w:rPr>
                <w:rFonts w:hint="default" w:ascii="Times New Roman" w:hAnsi="Times New Roman" w:eastAsia="宋体" w:cs="Times New Roman"/>
                <w:i w:val="0"/>
                <w:iCs w:val="0"/>
                <w:color w:val="auto"/>
                <w:kern w:val="0"/>
                <w:sz w:val="21"/>
                <w:szCs w:val="21"/>
                <w:u w:val="none"/>
                <w:vertAlign w:val="superscript"/>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22.85</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19.57</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18.78</w:t>
            </w:r>
          </w:p>
        </w:tc>
        <w:tc>
          <w:tcPr>
            <w:tcW w:w="632"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560"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440" w:type="pct"/>
            <w:vMerge w:val="restart"/>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lang w:eastAsia="zh-CN"/>
              </w:rPr>
            </w:pPr>
            <w:r>
              <w:rPr>
                <w:rFonts w:hint="default" w:ascii="Times New Roman" w:hAnsi="Times New Roman" w:eastAsia="宋体" w:cs="Times New Roman"/>
                <w:i w:val="0"/>
                <w:iCs w:val="0"/>
                <w:color w:val="auto"/>
                <w:sz w:val="21"/>
                <w:szCs w:val="21"/>
                <w:u w:val="none"/>
                <w:lang w:eastAsia="zh-CN"/>
              </w:rPr>
              <w:t>水工保护</w:t>
            </w:r>
          </w:p>
        </w:tc>
        <w:tc>
          <w:tcPr>
            <w:tcW w:w="1329"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浆砌石保护（m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2.74</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2.63</w:t>
            </w:r>
          </w:p>
        </w:tc>
        <w:tc>
          <w:tcPr>
            <w:tcW w:w="632"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560" w:type="pct"/>
            <w:vMerge w:val="continue"/>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p>
        </w:tc>
        <w:tc>
          <w:tcPr>
            <w:tcW w:w="440"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329"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混凝土（m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1455</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1044</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1128</w:t>
            </w:r>
          </w:p>
        </w:tc>
        <w:tc>
          <w:tcPr>
            <w:tcW w:w="632"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560" w:type="pct"/>
            <w:vMerge w:val="continue"/>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p>
        </w:tc>
        <w:tc>
          <w:tcPr>
            <w:tcW w:w="440"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329"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压重块（套）</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1411</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1832</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1710</w:t>
            </w:r>
          </w:p>
        </w:tc>
        <w:tc>
          <w:tcPr>
            <w:tcW w:w="632"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560"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6</w:t>
            </w:r>
          </w:p>
        </w:tc>
        <w:tc>
          <w:tcPr>
            <w:tcW w:w="1769" w:type="pct"/>
            <w:gridSpan w:val="3"/>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工程投资估算（万元）</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19266</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18123</w:t>
            </w:r>
          </w:p>
        </w:tc>
        <w:tc>
          <w:tcPr>
            <w:tcW w:w="679"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18075</w:t>
            </w:r>
          </w:p>
        </w:tc>
        <w:tc>
          <w:tcPr>
            <w:tcW w:w="632"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bl>
    <w:p>
      <w:pPr>
        <w:keepNext w:val="0"/>
        <w:keepLines w:val="0"/>
        <w:widowControl/>
        <w:suppressLineNumbers w:val="0"/>
        <w:jc w:val="center"/>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表1.9-4优缺点对比表</w:t>
      </w:r>
    </w:p>
    <w:tbl>
      <w:tblPr>
        <w:tblStyle w:val="24"/>
        <w:tblW w:w="4996" w:type="pct"/>
        <w:tblInd w:w="0" w:type="dxa"/>
        <w:shd w:val="clear" w:color="auto" w:fill="auto"/>
        <w:tblLayout w:type="fixed"/>
        <w:tblCellMar>
          <w:top w:w="0" w:type="dxa"/>
          <w:left w:w="108" w:type="dxa"/>
          <w:bottom w:w="0" w:type="dxa"/>
          <w:right w:w="108" w:type="dxa"/>
        </w:tblCellMar>
      </w:tblPr>
      <w:tblGrid>
        <w:gridCol w:w="1282"/>
        <w:gridCol w:w="4530"/>
        <w:gridCol w:w="3355"/>
      </w:tblGrid>
      <w:tr>
        <w:tblPrEx>
          <w:tblCellMar>
            <w:top w:w="0" w:type="dxa"/>
            <w:left w:w="108" w:type="dxa"/>
            <w:bottom w:w="0" w:type="dxa"/>
            <w:right w:w="108" w:type="dxa"/>
          </w:tblCellMar>
        </w:tblPrEx>
        <w:trPr>
          <w:trHeight w:val="270" w:hRule="atLeast"/>
        </w:trPr>
        <w:tc>
          <w:tcPr>
            <w:tcW w:w="6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方案</w:t>
            </w:r>
          </w:p>
        </w:tc>
        <w:tc>
          <w:tcPr>
            <w:tcW w:w="2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优点</w:t>
            </w:r>
          </w:p>
        </w:tc>
        <w:tc>
          <w:tcPr>
            <w:tcW w:w="18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缺点</w:t>
            </w:r>
          </w:p>
        </w:tc>
      </w:tr>
      <w:tr>
        <w:tblPrEx>
          <w:tblCellMar>
            <w:top w:w="0" w:type="dxa"/>
            <w:left w:w="108" w:type="dxa"/>
            <w:bottom w:w="0" w:type="dxa"/>
            <w:right w:w="108" w:type="dxa"/>
          </w:tblCellMar>
        </w:tblPrEx>
        <w:trPr>
          <w:trHeight w:val="1010" w:hRule="atLeast"/>
        </w:trPr>
        <w:tc>
          <w:tcPr>
            <w:tcW w:w="6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北线方案</w:t>
            </w:r>
          </w:p>
        </w:tc>
        <w:tc>
          <w:tcPr>
            <w:tcW w:w="24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kern w:val="0"/>
                <w:sz w:val="21"/>
                <w:szCs w:val="21"/>
                <w:lang w:val="en-US" w:eastAsia="zh-CN" w:bidi="ar"/>
              </w:rPr>
              <w:t>1） 长度较南线方案短；</w:t>
            </w:r>
          </w:p>
        </w:tc>
        <w:tc>
          <w:tcPr>
            <w:tcW w:w="18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 xml:space="preserve">1）投资最高； </w:t>
            </w:r>
          </w:p>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 xml:space="preserve">2）线路的困难段（高陡边坡）长度最长，施工困难； </w:t>
            </w:r>
          </w:p>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 xml:space="preserve">3）隧道施工工期较长； </w:t>
            </w:r>
          </w:p>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kern w:val="0"/>
                <w:sz w:val="21"/>
                <w:szCs w:val="21"/>
                <w:lang w:val="en-US" w:eastAsia="zh-CN" w:bidi="ar"/>
              </w:rPr>
              <w:t xml:space="preserve">4）管道经过的地形条件较为复杂。 </w:t>
            </w:r>
          </w:p>
        </w:tc>
      </w:tr>
      <w:tr>
        <w:tblPrEx>
          <w:tblCellMar>
            <w:top w:w="0" w:type="dxa"/>
            <w:left w:w="108" w:type="dxa"/>
            <w:bottom w:w="0" w:type="dxa"/>
            <w:right w:w="108" w:type="dxa"/>
          </w:tblCellMar>
        </w:tblPrEx>
        <w:trPr>
          <w:trHeight w:val="1210" w:hRule="atLeast"/>
        </w:trPr>
        <w:tc>
          <w:tcPr>
            <w:tcW w:w="6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lang w:eastAsia="zh-CN"/>
              </w:rPr>
            </w:pPr>
            <w:r>
              <w:rPr>
                <w:rFonts w:hint="default" w:ascii="Times New Roman" w:hAnsi="Times New Roman" w:eastAsia="宋体" w:cs="Times New Roman"/>
                <w:i w:val="0"/>
                <w:iCs w:val="0"/>
                <w:color w:val="auto"/>
                <w:sz w:val="21"/>
                <w:szCs w:val="21"/>
                <w:u w:val="none"/>
                <w:lang w:eastAsia="zh-CN"/>
              </w:rPr>
              <w:t>中线方案</w:t>
            </w:r>
          </w:p>
        </w:tc>
        <w:tc>
          <w:tcPr>
            <w:tcW w:w="24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1）线路长度最短</w:t>
            </w:r>
          </w:p>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2）投资较北线方案低；</w:t>
            </w:r>
          </w:p>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kern w:val="0"/>
                <w:sz w:val="21"/>
                <w:szCs w:val="21"/>
                <w:lang w:val="en-US" w:eastAsia="zh-CN" w:bidi="ar"/>
              </w:rPr>
              <w:t>3）河流大型穿越长度最短。</w:t>
            </w:r>
          </w:p>
        </w:tc>
        <w:tc>
          <w:tcPr>
            <w:tcW w:w="18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 xml:space="preserve">1）隧道施工工期较长， </w:t>
            </w:r>
          </w:p>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kern w:val="0"/>
                <w:sz w:val="21"/>
                <w:szCs w:val="21"/>
                <w:lang w:val="en-US" w:eastAsia="zh-CN" w:bidi="ar"/>
              </w:rPr>
              <w:t xml:space="preserve">2）线路的困难段（高陡边坡）长度较南线方案长，实施较困难。 </w:t>
            </w:r>
          </w:p>
        </w:tc>
      </w:tr>
      <w:tr>
        <w:tblPrEx>
          <w:shd w:val="clear" w:color="auto" w:fill="auto"/>
          <w:tblCellMar>
            <w:top w:w="0" w:type="dxa"/>
            <w:left w:w="108" w:type="dxa"/>
            <w:bottom w:w="0" w:type="dxa"/>
            <w:right w:w="108" w:type="dxa"/>
          </w:tblCellMar>
        </w:tblPrEx>
        <w:trPr>
          <w:trHeight w:val="1290" w:hRule="atLeast"/>
        </w:trPr>
        <w:tc>
          <w:tcPr>
            <w:tcW w:w="6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南线方案</w:t>
            </w:r>
          </w:p>
        </w:tc>
        <w:tc>
          <w:tcPr>
            <w:tcW w:w="24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 xml:space="preserve">1）地形条件较好； </w:t>
            </w:r>
          </w:p>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 xml:space="preserve">2）投资最低； </w:t>
            </w:r>
          </w:p>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 xml:space="preserve">3)困难段（高陡边坡），长度最短； </w:t>
            </w:r>
          </w:p>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color w:val="auto"/>
                <w:kern w:val="0"/>
                <w:sz w:val="21"/>
                <w:szCs w:val="21"/>
                <w:lang w:val="en-US" w:eastAsia="zh-CN" w:bidi="ar"/>
              </w:rPr>
              <w:t>4）定向钻施工工期短</w:t>
            </w:r>
          </w:p>
        </w:tc>
        <w:tc>
          <w:tcPr>
            <w:tcW w:w="18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 xml:space="preserve">1）线路长度最长； </w:t>
            </w:r>
          </w:p>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 xml:space="preserve">2）河流大型穿越穿长度最长； </w:t>
            </w:r>
          </w:p>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color w:val="auto"/>
                <w:kern w:val="0"/>
                <w:sz w:val="21"/>
                <w:szCs w:val="21"/>
                <w:lang w:val="en-US" w:eastAsia="zh-CN" w:bidi="ar"/>
              </w:rPr>
              <w:t xml:space="preserve">3）与它管道并行敷设长度最长。 </w:t>
            </w:r>
          </w:p>
        </w:tc>
      </w:tr>
    </w:tbl>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 xml:space="preserve">综上所述，虽然南线方案线路长度最长，但南线方案投资最省且地形条件好，施工难度较小，定向钻施工工期短，同时投资最低，因此推荐南线方案。 </w:t>
      </w:r>
    </w:p>
    <w:p>
      <w:pPr>
        <w:keepNext w:val="0"/>
        <w:keepLines w:val="0"/>
        <w:widowControl/>
        <w:numPr>
          <w:ilvl w:val="0"/>
          <w:numId w:val="0"/>
        </w:numPr>
        <w:suppressLineNumbers w:val="0"/>
        <w:ind w:leftChars="20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2、局部走向方案比选</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根据工程可研报告，结合地形、地貌、工程地质条件、交通、沿线城镇的现状和发展规划，对三叉沟-陵江清管站进行方案比选、优化。</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北线方案：本段从比选起点三叉沟向西北敷设，经过孙家沟、桅杆村、青盐沟后折向西南敷设，经张家湾，止于陵江清管站。本段线路长度约 5.5km，无等级公路和河流大中型穿越，沿线地形地貌主要为深丘和低山，地表状况主要为农田和林地，管道经过的高陡边坡约0.6km。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南线方案：本段从比选起点三叉沟向西敷设，经罗家沟、九真罐、沙田湾，在沙田湾西侧折向西北敷设，止于陵江清管站。本段线路长度约 5.2km，无等级公路和河流大中型穿越，沿线地形地貌主要为深丘和低山，地表状况主要为农田和林地，管道经过的高陡边坡约1.2km。</w:t>
      </w:r>
    </w:p>
    <w:p>
      <w:pPr>
        <w:keepNext w:val="0"/>
        <w:keepLines w:val="0"/>
        <w:widowControl/>
        <w:suppressLineNumbers w:val="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表1.9-5主要工程量对比表</w:t>
      </w:r>
    </w:p>
    <w:tbl>
      <w:tblPr>
        <w:tblStyle w:val="24"/>
        <w:tblW w:w="4999" w:type="pct"/>
        <w:jc w:val="center"/>
        <w:shd w:val="clear" w:color="auto" w:fill="auto"/>
        <w:tblLayout w:type="autofit"/>
        <w:tblCellMar>
          <w:top w:w="0" w:type="dxa"/>
          <w:left w:w="108" w:type="dxa"/>
          <w:bottom w:w="0" w:type="dxa"/>
          <w:right w:w="108" w:type="dxa"/>
        </w:tblCellMar>
      </w:tblPr>
      <w:tblGrid>
        <w:gridCol w:w="1297"/>
        <w:gridCol w:w="1305"/>
        <w:gridCol w:w="1298"/>
        <w:gridCol w:w="1311"/>
        <w:gridCol w:w="1307"/>
        <w:gridCol w:w="1301"/>
        <w:gridCol w:w="1353"/>
      </w:tblGrid>
      <w:tr>
        <w:tblPrEx>
          <w:shd w:val="clear" w:color="auto" w:fill="auto"/>
          <w:tblCellMar>
            <w:top w:w="0" w:type="dxa"/>
            <w:left w:w="108" w:type="dxa"/>
            <w:bottom w:w="0" w:type="dxa"/>
            <w:right w:w="108" w:type="dxa"/>
          </w:tblCellMar>
        </w:tblPrEx>
        <w:trPr>
          <w:trHeight w:val="300" w:hRule="atLeast"/>
          <w:jc w:val="center"/>
        </w:trPr>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213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项目</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北线方案</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南线方案</w:t>
            </w:r>
          </w:p>
        </w:tc>
        <w:tc>
          <w:tcPr>
            <w:tcW w:w="73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备注</w:t>
            </w:r>
          </w:p>
        </w:tc>
      </w:tr>
      <w:tr>
        <w:tblPrEx>
          <w:shd w:val="clear" w:color="auto" w:fill="auto"/>
          <w:tblCellMar>
            <w:top w:w="0" w:type="dxa"/>
            <w:left w:w="108" w:type="dxa"/>
            <w:bottom w:w="0" w:type="dxa"/>
            <w:right w:w="108" w:type="dxa"/>
          </w:tblCellMar>
        </w:tblPrEx>
        <w:trPr>
          <w:trHeight w:val="300" w:hRule="atLeast"/>
          <w:jc w:val="center"/>
        </w:trPr>
        <w:tc>
          <w:tcPr>
            <w:tcW w:w="70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71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管道</w:t>
            </w:r>
          </w:p>
        </w:tc>
        <w:tc>
          <w:tcPr>
            <w:tcW w:w="142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干线</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5.5</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5.3</w:t>
            </w:r>
          </w:p>
        </w:tc>
        <w:tc>
          <w:tcPr>
            <w:tcW w:w="73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管径D1016mm</w:t>
            </w:r>
          </w:p>
        </w:tc>
      </w:tr>
      <w:tr>
        <w:tblPrEx>
          <w:shd w:val="clear" w:color="auto" w:fill="auto"/>
        </w:tblPrEx>
        <w:trPr>
          <w:trHeight w:val="555" w:hRule="atLeast"/>
          <w:jc w:val="center"/>
        </w:trPr>
        <w:tc>
          <w:tcPr>
            <w:tcW w:w="7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7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70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地形地貌</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低山（km</w:t>
            </w:r>
            <w:r>
              <w:rPr>
                <w:rStyle w:val="78"/>
                <w:rFonts w:hint="default" w:ascii="Times New Roman" w:hAnsi="Times New Roman" w:eastAsia="宋体" w:cs="Times New Roman"/>
                <w:color w:val="auto"/>
                <w:sz w:val="21"/>
                <w:szCs w:val="21"/>
                <w:lang w:val="en-US" w:eastAsia="zh-CN" w:bidi="ar"/>
              </w:rPr>
              <w:t>）</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w:t>
            </w:r>
          </w:p>
        </w:tc>
        <w:tc>
          <w:tcPr>
            <w:tcW w:w="7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PrEx>
        <w:trPr>
          <w:trHeight w:val="555" w:hRule="atLeast"/>
          <w:jc w:val="center"/>
        </w:trPr>
        <w:tc>
          <w:tcPr>
            <w:tcW w:w="7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7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7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深丘（km</w:t>
            </w:r>
            <w:r>
              <w:rPr>
                <w:rStyle w:val="78"/>
                <w:rFonts w:hint="default" w:ascii="Times New Roman" w:hAnsi="Times New Roman" w:eastAsia="宋体" w:cs="Times New Roman"/>
                <w:color w:val="auto"/>
                <w:sz w:val="21"/>
                <w:szCs w:val="21"/>
                <w:lang w:val="en-US" w:eastAsia="zh-CN" w:bidi="ar"/>
              </w:rPr>
              <w:t>）</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3.9</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2.9</w:t>
            </w:r>
          </w:p>
        </w:tc>
        <w:tc>
          <w:tcPr>
            <w:tcW w:w="7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PrEx>
        <w:trPr>
          <w:trHeight w:val="300" w:hRule="atLeast"/>
          <w:jc w:val="center"/>
        </w:trPr>
        <w:tc>
          <w:tcPr>
            <w:tcW w:w="70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213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困难段</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0.6</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7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PrEx>
        <w:trPr>
          <w:trHeight w:val="300" w:hRule="atLeast"/>
          <w:jc w:val="center"/>
        </w:trPr>
        <w:tc>
          <w:tcPr>
            <w:tcW w:w="7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71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土方量</w:t>
            </w:r>
          </w:p>
        </w:tc>
        <w:tc>
          <w:tcPr>
            <w:tcW w:w="142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土方量（10</w:t>
            </w:r>
            <w:r>
              <w:rPr>
                <w:rStyle w:val="79"/>
                <w:rFonts w:hint="default" w:ascii="Times New Roman" w:hAnsi="Times New Roman" w:eastAsia="宋体" w:cs="Times New Roman"/>
                <w:color w:val="auto"/>
                <w:sz w:val="21"/>
                <w:szCs w:val="21"/>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m</w:t>
            </w:r>
            <w:r>
              <w:rPr>
                <w:rStyle w:val="79"/>
                <w:rFonts w:hint="default" w:ascii="Times New Roman" w:hAnsi="Times New Roman" w:eastAsia="宋体" w:cs="Times New Roman"/>
                <w:color w:val="auto"/>
                <w:sz w:val="21"/>
                <w:szCs w:val="21"/>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1.91</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1.82</w:t>
            </w:r>
          </w:p>
        </w:tc>
        <w:tc>
          <w:tcPr>
            <w:tcW w:w="7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PrEx>
        <w:trPr>
          <w:trHeight w:val="300" w:hRule="atLeast"/>
          <w:jc w:val="center"/>
        </w:trPr>
        <w:tc>
          <w:tcPr>
            <w:tcW w:w="7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7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42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石方量（10</w:t>
            </w:r>
            <w:r>
              <w:rPr>
                <w:rStyle w:val="79"/>
                <w:rFonts w:hint="default" w:ascii="Times New Roman" w:hAnsi="Times New Roman" w:eastAsia="宋体" w:cs="Times New Roman"/>
                <w:color w:val="auto"/>
                <w:sz w:val="21"/>
                <w:szCs w:val="21"/>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m</w:t>
            </w:r>
            <w:r>
              <w:rPr>
                <w:rStyle w:val="79"/>
                <w:rFonts w:hint="default" w:ascii="Times New Roman" w:hAnsi="Times New Roman" w:eastAsia="宋体" w:cs="Times New Roman"/>
                <w:color w:val="auto"/>
                <w:sz w:val="21"/>
                <w:szCs w:val="21"/>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4.44</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4.34</w:t>
            </w:r>
          </w:p>
        </w:tc>
        <w:tc>
          <w:tcPr>
            <w:tcW w:w="7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300" w:hRule="atLeast"/>
          <w:jc w:val="center"/>
        </w:trPr>
        <w:tc>
          <w:tcPr>
            <w:tcW w:w="70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7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42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清淤量（10</w:t>
            </w:r>
            <w:r>
              <w:rPr>
                <w:rStyle w:val="79"/>
                <w:rFonts w:hint="default" w:ascii="Times New Roman" w:hAnsi="Times New Roman" w:eastAsia="宋体" w:cs="Times New Roman"/>
                <w:color w:val="auto"/>
                <w:sz w:val="21"/>
                <w:szCs w:val="21"/>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m</w:t>
            </w:r>
            <w:r>
              <w:rPr>
                <w:rStyle w:val="79"/>
                <w:rFonts w:hint="default" w:ascii="Times New Roman" w:hAnsi="Times New Roman" w:eastAsia="宋体" w:cs="Times New Roman"/>
                <w:color w:val="auto"/>
                <w:sz w:val="21"/>
                <w:szCs w:val="21"/>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0.12</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w:t>
            </w:r>
          </w:p>
        </w:tc>
        <w:tc>
          <w:tcPr>
            <w:tcW w:w="7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jc w:val="center"/>
        </w:trPr>
        <w:tc>
          <w:tcPr>
            <w:tcW w:w="7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7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42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细土回填（10</w:t>
            </w:r>
            <w:r>
              <w:rPr>
                <w:rStyle w:val="79"/>
                <w:rFonts w:hint="default" w:ascii="Times New Roman" w:hAnsi="Times New Roman" w:eastAsia="宋体" w:cs="Times New Roman"/>
                <w:color w:val="auto"/>
                <w:sz w:val="21"/>
                <w:szCs w:val="21"/>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m</w:t>
            </w:r>
            <w:r>
              <w:rPr>
                <w:rStyle w:val="79"/>
                <w:rFonts w:hint="default" w:ascii="Times New Roman" w:hAnsi="Times New Roman" w:eastAsia="宋体" w:cs="Times New Roman"/>
                <w:color w:val="auto"/>
                <w:sz w:val="21"/>
                <w:szCs w:val="21"/>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0.19</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0.17</w:t>
            </w:r>
          </w:p>
        </w:tc>
        <w:tc>
          <w:tcPr>
            <w:tcW w:w="7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jc w:val="center"/>
        </w:trPr>
        <w:tc>
          <w:tcPr>
            <w:tcW w:w="7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7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42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作业带劈方（10</w:t>
            </w:r>
            <w:r>
              <w:rPr>
                <w:rStyle w:val="79"/>
                <w:rFonts w:hint="default" w:ascii="Times New Roman" w:hAnsi="Times New Roman" w:eastAsia="宋体" w:cs="Times New Roman"/>
                <w:color w:val="auto"/>
                <w:sz w:val="21"/>
                <w:szCs w:val="21"/>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m</w:t>
            </w:r>
            <w:r>
              <w:rPr>
                <w:rStyle w:val="79"/>
                <w:rFonts w:hint="default" w:ascii="Times New Roman" w:hAnsi="Times New Roman" w:eastAsia="宋体" w:cs="Times New Roman"/>
                <w:color w:val="auto"/>
                <w:sz w:val="21"/>
                <w:szCs w:val="21"/>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6.45</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7.98</w:t>
            </w:r>
          </w:p>
        </w:tc>
        <w:tc>
          <w:tcPr>
            <w:tcW w:w="7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CellMar>
            <w:top w:w="0" w:type="dxa"/>
            <w:left w:w="108" w:type="dxa"/>
            <w:bottom w:w="0" w:type="dxa"/>
            <w:right w:w="108" w:type="dxa"/>
          </w:tblCellMar>
        </w:tblPrEx>
        <w:trPr>
          <w:trHeight w:val="270" w:hRule="atLeast"/>
          <w:jc w:val="center"/>
        </w:trPr>
        <w:tc>
          <w:tcPr>
            <w:tcW w:w="70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71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Chars="20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水工保护</w:t>
            </w:r>
          </w:p>
        </w:tc>
        <w:tc>
          <w:tcPr>
            <w:tcW w:w="142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浆砌石保护（m</w:t>
            </w:r>
            <w:r>
              <w:rPr>
                <w:rStyle w:val="79"/>
                <w:rFonts w:hint="default" w:ascii="Times New Roman" w:hAnsi="Times New Roman" w:eastAsia="宋体" w:cs="Times New Roman"/>
                <w:color w:val="auto"/>
                <w:sz w:val="21"/>
                <w:szCs w:val="21"/>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0.82</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0.93</w:t>
            </w:r>
          </w:p>
        </w:tc>
        <w:tc>
          <w:tcPr>
            <w:tcW w:w="7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jc w:val="center"/>
        </w:trPr>
        <w:tc>
          <w:tcPr>
            <w:tcW w:w="7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7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42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混凝土（m</w:t>
            </w:r>
            <w:r>
              <w:rPr>
                <w:rStyle w:val="79"/>
                <w:rFonts w:hint="default" w:ascii="Times New Roman" w:hAnsi="Times New Roman" w:eastAsia="宋体" w:cs="Times New Roman"/>
                <w:color w:val="auto"/>
                <w:sz w:val="21"/>
                <w:szCs w:val="21"/>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420</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401</w:t>
            </w:r>
          </w:p>
        </w:tc>
        <w:tc>
          <w:tcPr>
            <w:tcW w:w="7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CellMar>
            <w:top w:w="0" w:type="dxa"/>
            <w:left w:w="108" w:type="dxa"/>
            <w:bottom w:w="0" w:type="dxa"/>
            <w:right w:w="108" w:type="dxa"/>
          </w:tblCellMar>
        </w:tblPrEx>
        <w:trPr>
          <w:trHeight w:val="270" w:hRule="atLeast"/>
          <w:jc w:val="center"/>
        </w:trPr>
        <w:tc>
          <w:tcPr>
            <w:tcW w:w="7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7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42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压重块（套）</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622</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610</w:t>
            </w:r>
          </w:p>
        </w:tc>
        <w:tc>
          <w:tcPr>
            <w:tcW w:w="7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jc w:val="center"/>
        </w:trPr>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213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工程投资估算（万元）</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5675</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5752</w:t>
            </w:r>
          </w:p>
        </w:tc>
        <w:tc>
          <w:tcPr>
            <w:tcW w:w="7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bl>
    <w:p>
      <w:pPr>
        <w:keepNext w:val="0"/>
        <w:keepLines w:val="0"/>
        <w:widowControl/>
        <w:suppressLineNumbers w:val="0"/>
        <w:jc w:val="center"/>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表1.9-6优缺点对比表</w:t>
      </w:r>
    </w:p>
    <w:tbl>
      <w:tblPr>
        <w:tblStyle w:val="24"/>
        <w:tblW w:w="4996" w:type="pct"/>
        <w:tblInd w:w="0" w:type="dxa"/>
        <w:shd w:val="clear" w:color="auto" w:fill="auto"/>
        <w:tblLayout w:type="fixed"/>
        <w:tblCellMar>
          <w:top w:w="0" w:type="dxa"/>
          <w:left w:w="108" w:type="dxa"/>
          <w:bottom w:w="0" w:type="dxa"/>
          <w:right w:w="108" w:type="dxa"/>
        </w:tblCellMar>
      </w:tblPr>
      <w:tblGrid>
        <w:gridCol w:w="1282"/>
        <w:gridCol w:w="4530"/>
        <w:gridCol w:w="3355"/>
      </w:tblGrid>
      <w:tr>
        <w:tblPrEx>
          <w:shd w:val="clear" w:color="auto" w:fill="auto"/>
          <w:tblCellMar>
            <w:top w:w="0" w:type="dxa"/>
            <w:left w:w="108" w:type="dxa"/>
            <w:bottom w:w="0" w:type="dxa"/>
            <w:right w:w="108" w:type="dxa"/>
          </w:tblCellMar>
        </w:tblPrEx>
        <w:trPr>
          <w:trHeight w:val="270" w:hRule="atLeast"/>
        </w:trPr>
        <w:tc>
          <w:tcPr>
            <w:tcW w:w="6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方案</w:t>
            </w:r>
          </w:p>
        </w:tc>
        <w:tc>
          <w:tcPr>
            <w:tcW w:w="2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优点</w:t>
            </w:r>
          </w:p>
        </w:tc>
        <w:tc>
          <w:tcPr>
            <w:tcW w:w="18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缺点</w:t>
            </w:r>
          </w:p>
        </w:tc>
      </w:tr>
      <w:tr>
        <w:tblPrEx>
          <w:shd w:val="clear" w:color="auto" w:fill="auto"/>
          <w:tblCellMar>
            <w:top w:w="0" w:type="dxa"/>
            <w:left w:w="108" w:type="dxa"/>
            <w:bottom w:w="0" w:type="dxa"/>
            <w:right w:w="108" w:type="dxa"/>
          </w:tblCellMar>
        </w:tblPrEx>
        <w:trPr>
          <w:trHeight w:val="1010" w:hRule="atLeast"/>
        </w:trPr>
        <w:tc>
          <w:tcPr>
            <w:tcW w:w="6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北线方案</w:t>
            </w:r>
          </w:p>
        </w:tc>
        <w:tc>
          <w:tcPr>
            <w:tcW w:w="24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numPr>
                <w:ilvl w:val="0"/>
                <w:numId w:val="4"/>
              </w:numPr>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困难段（高陡边坡）长度最短；</w:t>
            </w:r>
          </w:p>
          <w:p>
            <w:pPr>
              <w:keepNext w:val="0"/>
              <w:keepLines w:val="0"/>
              <w:widowControl/>
              <w:numPr>
                <w:ilvl w:val="0"/>
                <w:numId w:val="4"/>
              </w:numPr>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劈方量小；</w:t>
            </w:r>
          </w:p>
          <w:p>
            <w:pPr>
              <w:keepNext w:val="0"/>
              <w:keepLines w:val="0"/>
              <w:widowControl/>
              <w:numPr>
                <w:ilvl w:val="0"/>
                <w:numId w:val="4"/>
              </w:numPr>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投资低；</w:t>
            </w:r>
          </w:p>
          <w:p>
            <w:pPr>
              <w:keepNext w:val="0"/>
              <w:keepLines w:val="0"/>
              <w:widowControl/>
              <w:numPr>
                <w:ilvl w:val="0"/>
                <w:numId w:val="4"/>
              </w:numPr>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地形较南线方案好。</w:t>
            </w:r>
          </w:p>
        </w:tc>
        <w:tc>
          <w:tcPr>
            <w:tcW w:w="18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numPr>
                <w:ilvl w:val="0"/>
                <w:numId w:val="0"/>
              </w:numPr>
              <w:suppressLineNumbers w:val="0"/>
              <w:spacing w:line="240" w:lineRule="auto"/>
              <w:jc w:val="lef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1）线路长；</w:t>
            </w:r>
          </w:p>
          <w:p>
            <w:pPr>
              <w:keepNext w:val="0"/>
              <w:keepLines w:val="0"/>
              <w:widowControl/>
              <w:numPr>
                <w:ilvl w:val="0"/>
                <w:numId w:val="0"/>
              </w:numPr>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2）管沟土石方量较大。</w:t>
            </w:r>
          </w:p>
        </w:tc>
      </w:tr>
      <w:tr>
        <w:tblPrEx>
          <w:tblCellMar>
            <w:top w:w="0" w:type="dxa"/>
            <w:left w:w="108" w:type="dxa"/>
            <w:bottom w:w="0" w:type="dxa"/>
            <w:right w:w="108" w:type="dxa"/>
          </w:tblCellMar>
        </w:tblPrEx>
        <w:trPr>
          <w:trHeight w:val="1580" w:hRule="atLeast"/>
        </w:trPr>
        <w:tc>
          <w:tcPr>
            <w:tcW w:w="6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南线方案</w:t>
            </w:r>
          </w:p>
        </w:tc>
        <w:tc>
          <w:tcPr>
            <w:tcW w:w="24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numPr>
                <w:ilvl w:val="0"/>
                <w:numId w:val="0"/>
              </w:numPr>
              <w:suppressLineNumbers w:val="0"/>
              <w:spacing w:line="240" w:lineRule="auto"/>
              <w:ind w:leftChars="0"/>
              <w:jc w:val="lef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1）线路长度短；</w:t>
            </w:r>
          </w:p>
          <w:p>
            <w:pPr>
              <w:keepNext w:val="0"/>
              <w:keepLines w:val="0"/>
              <w:widowControl/>
              <w:numPr>
                <w:ilvl w:val="0"/>
                <w:numId w:val="0"/>
              </w:numPr>
              <w:suppressLineNumbers w:val="0"/>
              <w:spacing w:line="240" w:lineRule="auto"/>
              <w:ind w:left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 管沟土石方量少</w:t>
            </w:r>
          </w:p>
        </w:tc>
        <w:tc>
          <w:tcPr>
            <w:tcW w:w="18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numPr>
                <w:ilvl w:val="0"/>
                <w:numId w:val="0"/>
              </w:numPr>
              <w:suppressLineNumbers w:val="0"/>
              <w:spacing w:line="240" w:lineRule="auto"/>
              <w:jc w:val="lef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1）投资高；</w:t>
            </w:r>
          </w:p>
          <w:p>
            <w:pPr>
              <w:keepNext w:val="0"/>
              <w:keepLines w:val="0"/>
              <w:widowControl/>
              <w:numPr>
                <w:ilvl w:val="0"/>
                <w:numId w:val="0"/>
              </w:numPr>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2）困难段长度长，施工难度较北线方案大；</w:t>
            </w:r>
          </w:p>
          <w:p>
            <w:pPr>
              <w:keepNext w:val="0"/>
              <w:keepLines w:val="0"/>
              <w:widowControl/>
              <w:numPr>
                <w:ilvl w:val="0"/>
                <w:numId w:val="0"/>
              </w:numPr>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3）劈方量大</w:t>
            </w:r>
          </w:p>
        </w:tc>
      </w:tr>
    </w:tbl>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综上所述，南线方案虽然长度较短，但管道经困难段长度长，作业带劈方量大，同时投资较高，综合考虑各种因素，本段推荐采用北线方案。</w:t>
      </w:r>
    </w:p>
    <w:p>
      <w:pPr>
        <w:keepNext w:val="0"/>
        <w:keepLines w:val="0"/>
        <w:widowControl/>
        <w:suppressLineNumbers w:val="0"/>
        <w:jc w:val="left"/>
        <w:rPr>
          <w:rFonts w:hint="default" w:ascii="Times New Roman" w:hAnsi="Times New Roman" w:eastAsia="宋体" w:cs="Times New Roman"/>
          <w:color w:val="auto"/>
          <w:lang w:val="en-US"/>
        </w:rPr>
      </w:pPr>
      <w:r>
        <w:rPr>
          <w:rFonts w:hint="default" w:ascii="Times New Roman" w:hAnsi="Times New Roman" w:eastAsia="宋体" w:cs="Times New Roman"/>
          <w:color w:val="auto"/>
          <w:kern w:val="0"/>
          <w:sz w:val="24"/>
          <w:szCs w:val="24"/>
          <w:lang w:val="en-US" w:eastAsia="zh-CN" w:bidi="ar"/>
        </w:rPr>
        <w:t xml:space="preserve">最终工程线路走向：起于元坝净化厂的元坝首站，线路出站后向南敷设，途经冉家沟、李家湾，圆包梁，在阎家湾穿越东河后，经全民村、朱家湾、孙家沟、曹家院、清盐村，张家湾，最后止于陵江清管站。本工程线路长度约 </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，河流大型穿越 1 次，无高等级公路穿越，乡村水泥路穿越 26 次，碎石路穿越 18 次。本工程约 5.5km 与在建元坝-德阳管道并行。</w:t>
      </w:r>
    </w:p>
    <w:p>
      <w:pPr>
        <w:keepNext w:val="0"/>
        <w:keepLines w:val="0"/>
        <w:widowControl/>
        <w:suppressLineNumbers w:val="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kern w:val="0"/>
          <w:sz w:val="24"/>
          <w:szCs w:val="24"/>
          <w:lang w:val="en-US" w:eastAsia="zh-CN" w:bidi="ar"/>
        </w:rPr>
        <w:t>表1.9-7南北两线环境影响对比表</w:t>
      </w:r>
    </w:p>
    <w:tbl>
      <w:tblPr>
        <w:tblStyle w:val="24"/>
        <w:tblW w:w="4998" w:type="pct"/>
        <w:jc w:val="center"/>
        <w:shd w:val="clear" w:color="auto" w:fill="auto"/>
        <w:tblLayout w:type="autofit"/>
        <w:tblCellMar>
          <w:top w:w="0" w:type="dxa"/>
          <w:left w:w="108" w:type="dxa"/>
          <w:bottom w:w="0" w:type="dxa"/>
          <w:right w:w="108" w:type="dxa"/>
        </w:tblCellMar>
      </w:tblPr>
      <w:tblGrid>
        <w:gridCol w:w="980"/>
        <w:gridCol w:w="1486"/>
        <w:gridCol w:w="1961"/>
        <w:gridCol w:w="2111"/>
        <w:gridCol w:w="2632"/>
      </w:tblGrid>
      <w:tr>
        <w:tblPrEx>
          <w:shd w:val="clear" w:color="auto" w:fill="auto"/>
          <w:tblCellMar>
            <w:top w:w="0" w:type="dxa"/>
            <w:left w:w="108" w:type="dxa"/>
            <w:bottom w:w="0" w:type="dxa"/>
            <w:right w:w="108" w:type="dxa"/>
          </w:tblCellMar>
        </w:tblPrEx>
        <w:trPr>
          <w:trHeight w:val="285" w:hRule="atLeast"/>
          <w:jc w:val="center"/>
        </w:trPr>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比选内容</w:t>
            </w:r>
          </w:p>
        </w:tc>
        <w:tc>
          <w:tcPr>
            <w:tcW w:w="10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北线方案</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南线方案</w:t>
            </w:r>
          </w:p>
        </w:tc>
        <w:tc>
          <w:tcPr>
            <w:tcW w:w="14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比选结果</w:t>
            </w:r>
          </w:p>
        </w:tc>
      </w:tr>
      <w:tr>
        <w:tblPrEx>
          <w:shd w:val="clear" w:color="auto" w:fill="auto"/>
          <w:tblCellMar>
            <w:top w:w="0" w:type="dxa"/>
            <w:left w:w="108" w:type="dxa"/>
            <w:bottom w:w="0" w:type="dxa"/>
            <w:right w:w="108" w:type="dxa"/>
          </w:tblCellMar>
        </w:tblPrEx>
        <w:trPr>
          <w:trHeight w:val="315" w:hRule="atLeast"/>
          <w:jc w:val="center"/>
        </w:trPr>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1</w:t>
            </w:r>
          </w:p>
        </w:tc>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长度</w:t>
            </w:r>
          </w:p>
        </w:tc>
        <w:tc>
          <w:tcPr>
            <w:tcW w:w="10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13.5</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14.6</w:t>
            </w:r>
          </w:p>
        </w:tc>
        <w:tc>
          <w:tcPr>
            <w:tcW w:w="14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北线方案较优</w:t>
            </w:r>
          </w:p>
        </w:tc>
      </w:tr>
      <w:tr>
        <w:tblPrEx>
          <w:shd w:val="clear" w:color="auto" w:fill="auto"/>
          <w:tblCellMar>
            <w:top w:w="0" w:type="dxa"/>
            <w:left w:w="108" w:type="dxa"/>
            <w:bottom w:w="0" w:type="dxa"/>
            <w:right w:w="108" w:type="dxa"/>
          </w:tblCellMar>
        </w:tblPrEx>
        <w:trPr>
          <w:trHeight w:val="315" w:hRule="atLeast"/>
          <w:jc w:val="center"/>
        </w:trPr>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2</w:t>
            </w:r>
          </w:p>
        </w:tc>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困难段</w:t>
            </w:r>
          </w:p>
        </w:tc>
        <w:tc>
          <w:tcPr>
            <w:tcW w:w="10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3.2</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2.3</w:t>
            </w:r>
          </w:p>
        </w:tc>
        <w:tc>
          <w:tcPr>
            <w:tcW w:w="14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南线方案较优</w:t>
            </w:r>
          </w:p>
        </w:tc>
      </w:tr>
      <w:tr>
        <w:tblPrEx>
          <w:shd w:val="clear" w:color="auto" w:fill="auto"/>
          <w:tblCellMar>
            <w:top w:w="0" w:type="dxa"/>
            <w:left w:w="108" w:type="dxa"/>
            <w:bottom w:w="0" w:type="dxa"/>
            <w:right w:w="108" w:type="dxa"/>
          </w:tblCellMar>
        </w:tblPrEx>
        <w:trPr>
          <w:trHeight w:val="1800" w:hRule="atLeast"/>
          <w:jc w:val="center"/>
        </w:trPr>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3</w:t>
            </w:r>
          </w:p>
        </w:tc>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水环境</w:t>
            </w:r>
          </w:p>
        </w:tc>
        <w:tc>
          <w:tcPr>
            <w:tcW w:w="10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河流大型穿越</w:t>
            </w:r>
            <w:r>
              <w:rPr>
                <w:rStyle w:val="80"/>
                <w:rFonts w:hint="default" w:ascii="Times New Roman" w:hAnsi="Times New Roman" w:eastAsia="宋体" w:cs="Times New Roman"/>
                <w:color w:val="auto"/>
                <w:sz w:val="21"/>
                <w:szCs w:val="21"/>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次，河流及冲沟小型穿越</w:t>
            </w:r>
            <w:r>
              <w:rPr>
                <w:rStyle w:val="80"/>
                <w:rFonts w:hint="default" w:ascii="Times New Roman" w:hAnsi="Times New Roman" w:eastAsia="宋体" w:cs="Times New Roman"/>
                <w:color w:val="auto"/>
                <w:sz w:val="21"/>
                <w:szCs w:val="21"/>
                <w:lang w:val="en-US" w:eastAsia="zh-CN" w:bidi="ar"/>
              </w:rPr>
              <w:t>20</w:t>
            </w:r>
            <w:r>
              <w:rPr>
                <w:rFonts w:hint="default" w:ascii="Times New Roman" w:hAnsi="Times New Roman" w:eastAsia="宋体" w:cs="Times New Roman"/>
                <w:i w:val="0"/>
                <w:iCs w:val="0"/>
                <w:color w:val="auto"/>
                <w:kern w:val="0"/>
                <w:sz w:val="21"/>
                <w:szCs w:val="21"/>
                <w:u w:val="none"/>
                <w:lang w:val="en-US" w:eastAsia="zh-CN" w:bidi="ar"/>
              </w:rPr>
              <w:t>次，穿越东河二级水源保护区，</w:t>
            </w:r>
            <w:r>
              <w:rPr>
                <w:rStyle w:val="80"/>
                <w:rFonts w:hint="default" w:ascii="Times New Roman" w:hAnsi="Times New Roman" w:eastAsia="宋体" w:cs="Times New Roman"/>
                <w:color w:val="auto"/>
                <w:sz w:val="21"/>
                <w:szCs w:val="21"/>
                <w:lang w:val="en-US" w:eastAsia="zh-CN" w:bidi="ar"/>
              </w:rPr>
              <w:t>1250m</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河流大型穿越</w:t>
            </w:r>
            <w:r>
              <w:rPr>
                <w:rStyle w:val="80"/>
                <w:rFonts w:hint="default" w:ascii="Times New Roman" w:hAnsi="Times New Roman" w:eastAsia="宋体" w:cs="Times New Roman"/>
                <w:color w:val="auto"/>
                <w:sz w:val="21"/>
                <w:szCs w:val="21"/>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次，沟渠和小河穿越</w:t>
            </w:r>
            <w:r>
              <w:rPr>
                <w:rStyle w:val="80"/>
                <w:rFonts w:hint="default" w:ascii="Times New Roman" w:hAnsi="Times New Roman" w:eastAsia="宋体" w:cs="Times New Roman"/>
                <w:color w:val="auto"/>
                <w:sz w:val="21"/>
                <w:szCs w:val="21"/>
                <w:lang w:val="en-US" w:eastAsia="zh-CN" w:bidi="ar"/>
              </w:rPr>
              <w:t>15</w:t>
            </w:r>
            <w:r>
              <w:rPr>
                <w:rFonts w:hint="default" w:ascii="Times New Roman" w:hAnsi="Times New Roman" w:eastAsia="宋体" w:cs="Times New Roman"/>
                <w:i w:val="0"/>
                <w:iCs w:val="0"/>
                <w:color w:val="auto"/>
                <w:kern w:val="0"/>
                <w:sz w:val="21"/>
                <w:szCs w:val="21"/>
                <w:u w:val="none"/>
                <w:lang w:val="en-US" w:eastAsia="zh-CN" w:bidi="ar"/>
              </w:rPr>
              <w:t>次，穿越东河二级水源保护区，</w:t>
            </w:r>
            <w:r>
              <w:rPr>
                <w:rStyle w:val="80"/>
                <w:rFonts w:hint="default" w:ascii="Times New Roman" w:hAnsi="Times New Roman" w:eastAsia="宋体" w:cs="Times New Roman"/>
                <w:color w:val="auto"/>
                <w:sz w:val="21"/>
                <w:szCs w:val="21"/>
                <w:lang w:val="en-US" w:eastAsia="zh-CN" w:bidi="ar"/>
              </w:rPr>
              <w:t>1300m</w:t>
            </w:r>
          </w:p>
        </w:tc>
        <w:tc>
          <w:tcPr>
            <w:tcW w:w="14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北线方案虽穿越东河长度较短，但南线穿越河流数量较少，相对南线方案较优</w:t>
            </w:r>
          </w:p>
        </w:tc>
      </w:tr>
      <w:tr>
        <w:tblPrEx>
          <w:shd w:val="clear" w:color="auto" w:fill="auto"/>
          <w:tblCellMar>
            <w:top w:w="0" w:type="dxa"/>
            <w:left w:w="108" w:type="dxa"/>
            <w:bottom w:w="0" w:type="dxa"/>
            <w:right w:w="108" w:type="dxa"/>
          </w:tblCellMar>
        </w:tblPrEx>
        <w:trPr>
          <w:trHeight w:val="1710" w:hRule="atLeast"/>
          <w:jc w:val="center"/>
        </w:trPr>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4</w:t>
            </w:r>
          </w:p>
        </w:tc>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整体地形地貌</w:t>
            </w:r>
          </w:p>
        </w:tc>
        <w:tc>
          <w:tcPr>
            <w:tcW w:w="10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地形起伏大，管线顺山脊敷设上山较多，冲沟分布较多，冲沟狭窄，两岸岸坡陡</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多属丘陵和低山地貌，间有山间冲沟等地貌分布，地形波状起伏，局部段需翻山越岭，但地势相对和缓</w:t>
            </w:r>
          </w:p>
        </w:tc>
        <w:tc>
          <w:tcPr>
            <w:tcW w:w="14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南线方案较优</w:t>
            </w:r>
          </w:p>
        </w:tc>
      </w:tr>
      <w:tr>
        <w:tblPrEx>
          <w:shd w:val="clear" w:color="auto" w:fill="auto"/>
          <w:tblCellMar>
            <w:top w:w="0" w:type="dxa"/>
            <w:left w:w="108" w:type="dxa"/>
            <w:bottom w:w="0" w:type="dxa"/>
            <w:right w:w="108" w:type="dxa"/>
          </w:tblCellMar>
        </w:tblPrEx>
        <w:trPr>
          <w:trHeight w:val="315" w:hRule="atLeast"/>
          <w:jc w:val="center"/>
        </w:trPr>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5</w:t>
            </w:r>
          </w:p>
        </w:tc>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占地类型</w:t>
            </w:r>
          </w:p>
        </w:tc>
        <w:tc>
          <w:tcPr>
            <w:tcW w:w="10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农田和林地</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农田和林地</w:t>
            </w:r>
          </w:p>
        </w:tc>
        <w:tc>
          <w:tcPr>
            <w:tcW w:w="14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CellMar>
            <w:top w:w="0" w:type="dxa"/>
            <w:left w:w="108" w:type="dxa"/>
            <w:bottom w:w="0" w:type="dxa"/>
            <w:right w:w="108" w:type="dxa"/>
          </w:tblCellMar>
        </w:tblPrEx>
        <w:trPr>
          <w:trHeight w:val="1260" w:hRule="atLeast"/>
          <w:jc w:val="center"/>
        </w:trPr>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6</w:t>
            </w:r>
          </w:p>
        </w:tc>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三叉沟</w:t>
            </w:r>
            <w:r>
              <w:rPr>
                <w:rStyle w:val="80"/>
                <w:rFonts w:hint="default" w:ascii="Times New Roman" w:hAnsi="Times New Roman" w:eastAsia="宋体" w:cs="Times New Roman"/>
                <w:color w:val="auto"/>
                <w:sz w:val="21"/>
                <w:szCs w:val="21"/>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陵江清管站</w:t>
            </w:r>
          </w:p>
        </w:tc>
        <w:tc>
          <w:tcPr>
            <w:tcW w:w="10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线路长度约</w:t>
            </w:r>
            <w:r>
              <w:rPr>
                <w:rStyle w:val="80"/>
                <w:rFonts w:hint="default" w:ascii="Times New Roman" w:hAnsi="Times New Roman" w:eastAsia="宋体" w:cs="Times New Roman"/>
                <w:color w:val="auto"/>
                <w:sz w:val="21"/>
                <w:szCs w:val="21"/>
                <w:lang w:val="en-US" w:eastAsia="zh-CN" w:bidi="ar"/>
              </w:rPr>
              <w:t xml:space="preserve"> 5.5km</w:t>
            </w:r>
            <w:r>
              <w:rPr>
                <w:rFonts w:hint="default" w:ascii="Times New Roman" w:hAnsi="Times New Roman" w:eastAsia="宋体" w:cs="Times New Roman"/>
                <w:i w:val="0"/>
                <w:iCs w:val="0"/>
                <w:color w:val="auto"/>
                <w:kern w:val="0"/>
                <w:sz w:val="21"/>
                <w:szCs w:val="21"/>
                <w:u w:val="none"/>
                <w:lang w:val="en-US" w:eastAsia="zh-CN" w:bidi="ar"/>
              </w:rPr>
              <w:t>，管道经过的高陡边坡约</w:t>
            </w:r>
            <w:r>
              <w:rPr>
                <w:rStyle w:val="80"/>
                <w:rFonts w:hint="default" w:ascii="Times New Roman" w:hAnsi="Times New Roman" w:eastAsia="宋体" w:cs="Times New Roman"/>
                <w:color w:val="auto"/>
                <w:sz w:val="21"/>
                <w:szCs w:val="21"/>
                <w:lang w:val="en-US" w:eastAsia="zh-CN" w:bidi="ar"/>
              </w:rPr>
              <w:t>0.6km</w:t>
            </w:r>
            <w:r>
              <w:rPr>
                <w:rFonts w:hint="default" w:ascii="Times New Roman" w:hAnsi="Times New Roman" w:eastAsia="宋体" w:cs="Times New Roman"/>
                <w:i w:val="0"/>
                <w:iCs w:val="0"/>
                <w:color w:val="auto"/>
                <w:kern w:val="0"/>
                <w:sz w:val="21"/>
                <w:szCs w:val="21"/>
                <w:u w:val="none"/>
                <w:lang w:val="en-US" w:eastAsia="zh-CN" w:bidi="ar"/>
              </w:rPr>
              <w:t>。</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Style w:val="81"/>
                <w:rFonts w:hint="default" w:ascii="Times New Roman" w:hAnsi="Times New Roman" w:eastAsia="宋体" w:cs="Times New Roman"/>
                <w:color w:val="auto"/>
                <w:sz w:val="21"/>
                <w:szCs w:val="21"/>
                <w:lang w:val="en-US" w:eastAsia="zh-CN" w:bidi="ar"/>
              </w:rPr>
              <w:t>线路长度约</w:t>
            </w:r>
            <w:r>
              <w:rPr>
                <w:rFonts w:hint="default" w:ascii="Times New Roman" w:hAnsi="Times New Roman" w:eastAsia="宋体" w:cs="Times New Roman"/>
                <w:i w:val="0"/>
                <w:iCs w:val="0"/>
                <w:color w:val="auto"/>
                <w:kern w:val="0"/>
                <w:sz w:val="21"/>
                <w:szCs w:val="21"/>
                <w:u w:val="none"/>
                <w:lang w:val="en-US" w:eastAsia="zh-CN" w:bidi="ar"/>
              </w:rPr>
              <w:t xml:space="preserve"> 5.2km</w:t>
            </w:r>
            <w:r>
              <w:rPr>
                <w:rStyle w:val="81"/>
                <w:rFonts w:hint="default" w:ascii="Times New Roman" w:hAnsi="Times New Roman" w:eastAsia="宋体" w:cs="Times New Roman"/>
                <w:color w:val="auto"/>
                <w:sz w:val="21"/>
                <w:szCs w:val="21"/>
                <w:lang w:val="en-US" w:eastAsia="zh-CN" w:bidi="ar"/>
              </w:rPr>
              <w:t>，管道经过的高陡边坡约</w:t>
            </w:r>
            <w:r>
              <w:rPr>
                <w:rFonts w:hint="default" w:ascii="Times New Roman" w:hAnsi="Times New Roman" w:eastAsia="宋体" w:cs="Times New Roman"/>
                <w:i w:val="0"/>
                <w:iCs w:val="0"/>
                <w:color w:val="auto"/>
                <w:kern w:val="0"/>
                <w:sz w:val="21"/>
                <w:szCs w:val="21"/>
                <w:u w:val="none"/>
                <w:lang w:val="en-US" w:eastAsia="zh-CN" w:bidi="ar"/>
              </w:rPr>
              <w:t>1.2km</w:t>
            </w:r>
            <w:r>
              <w:rPr>
                <w:rStyle w:val="81"/>
                <w:rFonts w:hint="default" w:ascii="Times New Roman" w:hAnsi="Times New Roman" w:eastAsia="宋体" w:cs="Times New Roman"/>
                <w:color w:val="auto"/>
                <w:sz w:val="21"/>
                <w:szCs w:val="21"/>
                <w:lang w:val="en-US" w:eastAsia="zh-CN" w:bidi="ar"/>
              </w:rPr>
              <w:t>。</w:t>
            </w:r>
          </w:p>
        </w:tc>
        <w:tc>
          <w:tcPr>
            <w:tcW w:w="14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虽然北线线路长度稍长，但北线经高陡坡段长度较短，作业更安全，北线方案较优</w:t>
            </w:r>
          </w:p>
        </w:tc>
      </w:tr>
      <w:tr>
        <w:tblPrEx>
          <w:shd w:val="clear" w:color="auto" w:fill="auto"/>
          <w:tblCellMar>
            <w:top w:w="0" w:type="dxa"/>
            <w:left w:w="108" w:type="dxa"/>
            <w:bottom w:w="0" w:type="dxa"/>
            <w:right w:w="108" w:type="dxa"/>
          </w:tblCellMar>
        </w:tblPrEx>
        <w:trPr>
          <w:trHeight w:val="1480" w:hRule="atLeast"/>
          <w:jc w:val="center"/>
        </w:trPr>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7</w:t>
            </w:r>
          </w:p>
        </w:tc>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声环境、大气环境</w:t>
            </w:r>
          </w:p>
        </w:tc>
        <w:tc>
          <w:tcPr>
            <w:tcW w:w="365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南北两线影响程度相当，总体南线较长，影响范围较北线大，比较下北线方案较优。</w:t>
            </w:r>
          </w:p>
        </w:tc>
      </w:tr>
    </w:tbl>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上表可知，从元坝首站至陵江清管站段南线线路总长度比北线长，但穿越地多为丘陵山地，地势起伏较北线更低，工程建设更安全可行，开挖山体量更小，对环境扰动更可控；南北线多占用的林地、农田，分段上分析，南线方案对沿线森林生态系统、农业生态系统的影响大于北线，因此局部工程走向宜采用北线；水环境影响方面，南北线均不可避免穿越东河二级水源保护区，但北线穿越方式为开挖，南线穿越方式为定向钻，相比较下，开挖的穿越方式对水体扰动更大，后期隐患亦高于定向钻穿越，且南线相对北线穿越更少的河流，因此穿越处选线宜选用南线方案。因此根据环境影响对比分析，总体工程选线推荐南线，局部走向：三叉沟-陵江清管站推荐北线方案。</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综上，在可研推荐的宏观比选方案分析，南线工程投资比北线小，环境影响较小，环评原则上同意可研总体路线推荐南线方案，局部路线推荐北线方案。 </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1.9.4.4 本次评价提出线路调整建议 </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1、局部线路调整原则</w:t>
      </w:r>
      <w:r>
        <w:rPr>
          <w:rFonts w:hint="default" w:ascii="Times New Roman" w:hAnsi="Times New Roman" w:eastAsia="宋体" w:cs="Times New Roman"/>
          <w:b/>
          <w:bCs/>
          <w:color w:val="auto"/>
          <w:kern w:val="0"/>
          <w:sz w:val="24"/>
          <w:szCs w:val="24"/>
          <w:lang w:val="en-US" w:eastAsia="zh-CN" w:bidi="ar"/>
        </w:rPr>
        <w:t xml:space="preserve">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管线线路工程的特点决定了其对周围环境的影响是线型影响。路由的选择和确定，降低对管道沿线周围敏感区域的影响起到决定性的作用，同时对是否符合管道沿线各城镇发展规划、环境保护规划、生态保护规划等也起到了决定性的作用。因此，确定了线路的路由也就确定了其对沿线环境的影响程度。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线路路由的确定，和以往输油、输气管线及其他线性工程有所不同。以往线路路由先由可研确定，环评基本不参与可研的路由选定。在进行环境影响评价的过程中，当发现管线穿越敏感区域时，只能从减缓措施等方面进行评述和建议，对路由进行大的调整的可能性较小，属于被动评价。即使按照环保要求，线路经过敏感区域段最后得到了调整，但却浪费了许多人力和宝贵的时间。本管道工程汲取以往类似管道工程的建设经验，特别是在保护环境方面。环评工作在《可研》选线阶段提前介入管线选址选线，在承接本工程环评工作后，我单位对《可研》建议项目线路走向进行了现场踏勘，并走访了沿线各地环保、水务、林业等职能部门，对本工程线路涉及的自然保护区、文物保护区、饮用水源保护区进行了逐一排查。在排查完成后，我单位对项目线路调整提出了建议，供</w:t>
      </w:r>
      <w:r>
        <w:rPr>
          <w:rFonts w:hint="default" w:ascii="Times New Roman" w:hAnsi="Times New Roman" w:cs="Times New Roman"/>
          <w:color w:val="auto"/>
          <w:kern w:val="0"/>
          <w:sz w:val="24"/>
          <w:szCs w:val="24"/>
          <w:lang w:val="en-US" w:eastAsia="zh-CN" w:bidi="ar"/>
        </w:rPr>
        <w:t>建设单位</w:t>
      </w:r>
      <w:r>
        <w:rPr>
          <w:rFonts w:hint="default" w:ascii="Times New Roman" w:hAnsi="Times New Roman" w:eastAsia="宋体" w:cs="Times New Roman"/>
          <w:color w:val="auto"/>
          <w:kern w:val="0"/>
          <w:sz w:val="24"/>
          <w:szCs w:val="24"/>
          <w:lang w:val="en-US" w:eastAsia="zh-CN" w:bidi="ar"/>
        </w:rPr>
        <w:t>单位和设计单位参考。</w:t>
      </w:r>
    </w:p>
    <w:p>
      <w:pPr>
        <w:pStyle w:val="2"/>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2、东河穿越段调整建议</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可研》报告，本工程在广元市苍溪县中土镇人和村西采用定向钻方式穿越东河，我单位在对沿线饮用水源进行核查，核查过程中发现东河穿越位置距离云峰镇王渡社区取水口2.6km，处于云峰镇王渡社区饮用水二级保护区内。为减少项目建设对云峰镇王渡社区饮用水源的影响，环评建设东河穿越点远离王渡社区取水口，尽量将穿越位置调出水源保护区外。</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2"/>
          <w:sz w:val="28"/>
          <w:szCs w:val="32"/>
          <w:lang w:val="en-US" w:eastAsia="zh-CN" w:bidi="ar-SA"/>
        </w:rPr>
        <w:t>1.10大中型河流穿跨越方式合理性分析</w:t>
      </w:r>
      <w:r>
        <w:rPr>
          <w:rFonts w:hint="default" w:ascii="Times New Roman" w:hAnsi="Times New Roman" w:eastAsia="宋体" w:cs="Times New Roman"/>
          <w:b/>
          <w:bCs/>
          <w:color w:val="auto"/>
          <w:kern w:val="0"/>
          <w:sz w:val="28"/>
          <w:szCs w:val="28"/>
          <w:lang w:val="en-US" w:eastAsia="zh-CN" w:bidi="ar"/>
        </w:rPr>
        <w:t xml:space="preserve"> </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1.10.1穿跨越工程设计原则</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本工程管道穿跨越设计应全面吸取国内先进管道工程建设的经验和教训，遵循“安全第一、环保节能、以人为本、经济适用”的设计原则。具体而言，穿跨越设计应遵循如下原则：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1、遵循国家和行业的法律法规及标准规范，管道穿跨越工程设计应符合《中华人民共和国水法》、《中华人民共和国防洪法》和《中华人民共和国水土保持法》等相关法律法规的规定。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2、采用先进、成熟的技术，吸收国内外新的技术成果，做到技术先进，施工简便，经济合理，安全适用。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3、穿跨越设计应贯彻本工程《环境影响评价》、《水土保持评价》等七项评价的结论，切实把安全、环保放在首位，并做好节能、节地工作。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管道穿跨越位置应符合线路总走向，对于大中型穿跨越工程，线路局部走向应按所选穿跨越位置进行调整，处理好穿跨越工程与线路工程的衔接，以及与铁路、公路、河流、城市及水利规划的相互关系，确保输气管道和地方建设的协调发展。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5、管道穿跨越位置的选定应符合城市、交通、河道、航道等相关部门的法规及规划。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6、根据《四川省饮用水水源保护管理条例》，必须避开一级水源地。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7、大中型穿跨越工程的位置与方案，应根据水文、地质、地形、水土保持、环境、气象、交通、施工及管理条件进行技术经济比选确定。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8、确定合理的穿跨越位置及最优穿跨越结构型式。穿跨越方案中在技术经济条件许可的前提下优先采用定向钻方案。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9、河流穿跨越工程的各项措施不得影响排洪疏浚和航道通行，不得损坏大堤，并应征得河道、航道管理部门的同意。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10、河流大中型穿跨越如采用大开挖穿越通过时，采取减少水土流失以及对周边的危害的应对措施。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11、隧道、定向钻穿越应充分重视地下水保护、弃渣场选择问题，对拟选的隧道穿越位置开展必要的水文地质调查工作。</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1.10.2穿跨越位置选择原则</w:t>
      </w:r>
      <w:r>
        <w:rPr>
          <w:rFonts w:hint="default" w:ascii="Times New Roman" w:hAnsi="Times New Roman" w:eastAsia="宋体" w:cs="Times New Roman"/>
          <w:b/>
          <w:bCs/>
          <w:color w:val="auto"/>
          <w:kern w:val="0"/>
          <w:sz w:val="28"/>
          <w:szCs w:val="28"/>
          <w:lang w:val="en-US" w:eastAsia="zh-CN" w:bidi="ar"/>
        </w:rPr>
        <w:t xml:space="preserve">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1、遵循国家及本行业相关设计规范。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2、穿（跨）越方案应技术成熟、安全可靠、经济合理。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穿跨越位置应和已（拟）建的大型桥梁、码头等水工建（构）筑物保持符合设计规范的安全距离，与桥梁的距离应大于或等于规范规定的最小距离；穿越管段与港口、码头、水下建筑物或引水建筑物等之间的距离，当采用大开挖穿越时不宜小于 200m，当采用定向钻、隧道穿越时不宜小于 100m。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4、管道穿跨越位置附近应有一定的施工场地及便利的交通运输条件。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5、管道穿跨越位置应尽量避开灾害性地质地段（如活动地震断裂带、滑坡、岩溶等）和冲沟沟头发育地段，选择在有良好、稳定地层的地方，不宜选择在全新世纪活动断裂带及影响范围内。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6、管道穿跨越位置宜避开水库库区与尾水区，若在水库下游，则应选在水坝下游集中冲刷影响区之外。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7、穿跨越位置应避开采矿区和采空区。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8、管道穿跨越位置不宜选在河道经常疏浚加深、岸蚀严重或侵滩冲淤变化强烈地段。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9、穿越管段应垂直于水流轴向；如要斜交时，交角不宜小于 60°。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10、大开挖穿越应尽量选择河道顺直，河床平坦、冲淤变化较小的河段。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11、隧道穿越应选择河床基岩埋藏较浅，岩性单一完整致密且无大的活动断裂和两岸出渣条件较好、河道较窄的河段。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12、定向钻穿越应选择两岸场地良好，地层条件适宜的河段，且应具备定向钻管道回拖场地。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13、跨越位置选择宜在河流较窄、两岸有山嘴或高地、侧向冲刷侵蚀小、并有良好稳定地层的地段，当有河流弯道时，宜选择在弯道的上游平直河段。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14、通过保护区的穿越位置根据相关管理部门批复意见确定。</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1.10.3河流穿跨越方式选择原则</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随着石油天然气工业的发展，油气管道穿跨越各种河流的设计、施工技术越来越成熟，形成了一套比较完整的设计、施工方法。对于不同的河流，应对其穿跨越设计进行优选，确定最安全、经济、合理、可行的技术方案。管道工程所使用的穿越型式有：大开挖、定向钻、顶管、水下钻爆隧道、盾构隧道、顶管隧道等；跨越形式有：悬索、斜拉索、桁架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1、大开挖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大开挖穿越是在河底挖出一条管沟，并保证管沟开挖深度满足河道冲刷、疏浚的要求，然后管道下沟、回填，恢复自然河床。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围堰法：在管道穿越轴线两侧砌筑围堰，将明水抽掉，降低地下水，进行管沟开挖，铺设管道，适用于河水较浅，流量、流速较小的季节性河流，一般应选择在枯水期施工。围堰法的优点是能够保证管道的埋深，不需要大型牵引设备牵引管道过河；缺点是需要围堰，降低地下水，工程措施投资较大。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挖泥船大开挖：主要对于砂、土、卵石河床，采用挖泥船挖沟铺设管道，常用的挖泥船有抓斗式、轮斗式、铲斗式、吸扬式或绞吸式，根据不同的水文、地质情况及挖沟进度、质量要求等进行选择。适用于河水有一定深度（能保证挖泥船的航行）、河底管沟回淤量不大的河流，洪水期以外的季节均能施工。挖泥船大开挖的优点是可在水中作业，无需进行导流、围堰；缺点是造价较高，施工工期长。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大开挖穿越适用于各种地层，对于通航的河流一般不宜采用，对于非通航河流，经过充分论证后，在技术、经济、具有十分明显优势的情况下，可考虑采用大开挖穿越。大开挖穿越管道必须置于河床冲淤变化稳定层下一定深度。具体深度应根据水文地质报告及防洪评价报告提供的设计水位下的稳定层及冲刷深度计算结果、冲刷深度包络线，结合河流地层特点、稳管方式及穿越规范要求的设计埋深余量进行确定。此外，对于该种穿越还应采取相应的稳管措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2、定向钻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定向钻穿越是按照设计的轨迹，采用定向钻技术先钻一个导向孔，随后在钻杆端部连接大直径的扩孔钻头和直径小于扩孔钻头的已组装好的待敷设管道进行扩孔和管道回拖。定向钻是一种经济实用、安全可靠的穿越方式，但应具备以下基本条件：具有较为稳定的地形，一般适宜沙土、粉土、粘土、亚粘土、软岩质河床；定向钻穿越的一岸具有钻机、泥浆池、蓄水池、材料堆放的场地，另一岸具有足够的管道预制组装、回拖场地；具有定向钻穿越施工的专业队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3、隧道法穿越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（1）钻爆隧道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水下钻爆隧道采用爆破开挖地下坑道的方法，在水下的岩石层中开凿出一条通过水域的隧道，然后在隧道中进行安装和敷设管道。隧道本体的河底段一般采用平巷结构形式，平巷两端通过竖井或斜井与两岸地面连通。平巷段可适当的有0.5%左右的坡度，方便施工时排水。斜井或竖井方式的选择应根据隧道长度、施工期限、地形、地质、水文等条件，结合通风、救灾、排水及弃渣的需要，通过技术经济比较，合理选择。水下钻爆隧道一般用于稳定岩石层埋藏较浅、地质构造简单、完整性较好的水域穿越地段。如忠县长江穿越、中卫黄河穿越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（2）盾构法隧道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盾构法隧道是以盾构设备在地面以下暗挖隧道的一种施工方法。盾构机前方设有支撑和开挖土体的装置，中段安装有顶进所需的千斤顶，尾部可以拼装预制或现浇混凝土衬砌环。盾构机每推进一环距离，就在尾部支护或拼装一环衬砌，并向衬砌环外围的空隙中压注水泥浆。盾构法隧道使用的地质条件相对较广，一般采用“始发井～隧道～接收井”的布置方式，始发井及接收井井深较大，一般采用沉井维护结构。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（3）顶管法隧道穿越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顶管施工是继盾构施工之后而发展起来的一种地下管道施工方法，它不需要开挖面层，并且能够穿越公路、铁路、河川、地面建筑物、地下构筑物以及各种地下管线等。整套顶管机械由顶管机头（含纠偏系统）、主千斤顶系统、进排泥系统、触变泥浆系统、承力钢构件组成。顶管穿越施工不受季节、天气的影响；河水冲刷、河床变迁不影响管道安全，有利于管道长期安全运营。顶管穿越适用穿越地层广泛，较适合在淤泥质黏土、砂性土、砂砾石土层、强风化岩等岩、土层中顶进。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4、跨越形式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（1）桁架跨越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桁架跨越即在河流中修建基础和桥墩，上部采用简支桁架梁，在河槽深度不是很深河流中经常采用，其具有结构施工较方便，结构总体刚度大的特点，是长输管道河流中小型跨越中最常采用的型式之一，桁架跨越适用于两岸与水面高差不大的河流中小型跨越。如涩北～西宁～兰州输气管道工程刘化支线黄河跨越、忠县～武汉输气管道工程大溪沟跨越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（2）悬索跨越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悬索管桥是管道（或桥面）用不等长的吊索直接挂于承重主索上，主索绕过塔顶分别锚固于两岸的锚固墩上，此跨越型式可充分发挥钢索受拉强度高的材料性能，是长输管道大型跨越中最常采用的型式之一，悬索跨越适合于大口径管道河流大型或特大型跨越、深谷。如中贵线乌江跨越、马惠宁管道四座悬索跨越、天津子牙河悬索跨越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（3）斜拉索跨越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斜拉索管桥是利用拉索（钢丝绳或平行钢丝束）通过桥塔支撑斜向拉着桥面的一种结构形式，一般对称布置，利用桥面自身平衡拉索的拉力，减少基础混凝土用量。适用于各种管径的大型跨越工程。如中缅线北盘江跨越、中沧线大浪淀斜拉索跨越、魏荆输油管线汉江斜拉索跨越等。</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5、常用穿跨越方式对比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常用穿跨越方式的优缺点比较如下</w:t>
      </w:r>
    </w:p>
    <w:p>
      <w:pPr>
        <w:keepNext w:val="0"/>
        <w:keepLines w:val="0"/>
        <w:widowControl/>
        <w:suppressLineNumbers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kern w:val="0"/>
          <w:sz w:val="24"/>
          <w:szCs w:val="24"/>
          <w:lang w:val="en-US" w:eastAsia="zh-CN" w:bidi="ar"/>
        </w:rPr>
        <w:t>表1.10-1穿越方式及适用条件一览表</w:t>
      </w:r>
    </w:p>
    <w:tbl>
      <w:tblPr>
        <w:tblStyle w:val="24"/>
        <w:tblW w:w="499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832"/>
        <w:gridCol w:w="1249"/>
        <w:gridCol w:w="1757"/>
        <w:gridCol w:w="2315"/>
        <w:gridCol w:w="301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1135"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穿越方式</w:t>
            </w:r>
          </w:p>
        </w:tc>
        <w:tc>
          <w:tcPr>
            <w:tcW w:w="958"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适用条件</w:t>
            </w:r>
          </w:p>
        </w:tc>
        <w:tc>
          <w:tcPr>
            <w:tcW w:w="1262"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优点</w:t>
            </w:r>
          </w:p>
        </w:tc>
        <w:tc>
          <w:tcPr>
            <w:tcW w:w="164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缺点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454"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大开挖穿越</w:t>
            </w:r>
          </w:p>
        </w:tc>
        <w:tc>
          <w:tcPr>
            <w:tcW w:w="680"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围堰导流</w:t>
            </w:r>
          </w:p>
        </w:tc>
        <w:tc>
          <w:tcPr>
            <w:tcW w:w="958"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水深较浅或季节性河流</w:t>
            </w:r>
          </w:p>
        </w:tc>
        <w:tc>
          <w:tcPr>
            <w:tcW w:w="1262"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施工速度快、工程费用一般较低，无需大型设备。</w:t>
            </w:r>
          </w:p>
        </w:tc>
        <w:tc>
          <w:tcPr>
            <w:tcW w:w="1643"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检修困难，水深较深、流速较大的河流，围堰施工较困难，施工受季节影响。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454" w:type="pct"/>
            <w:vMerge w:val="continue"/>
            <w:tcBorders>
              <w:tl2br w:val="nil"/>
              <w:tr2bl w:val="nil"/>
            </w:tcBorders>
            <w:shd w:val="clear" w:color="auto" w:fill="auto"/>
            <w:vAlign w:val="center"/>
          </w:tcPr>
          <w:p>
            <w:pPr>
              <w:spacing w:line="240" w:lineRule="auto"/>
              <w:jc w:val="both"/>
              <w:rPr>
                <w:rFonts w:hint="default" w:ascii="Times New Roman" w:hAnsi="Times New Roman" w:eastAsia="宋体" w:cs="Times New Roman"/>
                <w:i w:val="0"/>
                <w:iCs w:val="0"/>
                <w:color w:val="auto"/>
                <w:sz w:val="21"/>
                <w:szCs w:val="21"/>
                <w:u w:val="none"/>
              </w:rPr>
            </w:pPr>
          </w:p>
        </w:tc>
        <w:tc>
          <w:tcPr>
            <w:tcW w:w="680" w:type="pct"/>
            <w:vMerge w:val="continue"/>
            <w:tcBorders>
              <w:tl2br w:val="nil"/>
              <w:tr2bl w:val="nil"/>
            </w:tcBorders>
            <w:shd w:val="clear" w:color="auto" w:fill="auto"/>
            <w:vAlign w:val="center"/>
          </w:tcPr>
          <w:p>
            <w:pPr>
              <w:spacing w:line="240" w:lineRule="auto"/>
              <w:jc w:val="both"/>
              <w:rPr>
                <w:rFonts w:hint="default" w:ascii="Times New Roman" w:hAnsi="Times New Roman" w:eastAsia="宋体" w:cs="Times New Roman"/>
                <w:i w:val="0"/>
                <w:iCs w:val="0"/>
                <w:color w:val="auto"/>
                <w:sz w:val="21"/>
                <w:szCs w:val="21"/>
                <w:u w:val="none"/>
              </w:rPr>
            </w:pPr>
          </w:p>
        </w:tc>
        <w:tc>
          <w:tcPr>
            <w:tcW w:w="958" w:type="pct"/>
            <w:vMerge w:val="continue"/>
            <w:tcBorders>
              <w:tl2br w:val="nil"/>
              <w:tr2bl w:val="nil"/>
            </w:tcBorders>
            <w:shd w:val="clear" w:color="auto" w:fill="auto"/>
            <w:vAlign w:val="center"/>
          </w:tcPr>
          <w:p>
            <w:pPr>
              <w:spacing w:line="240" w:lineRule="auto"/>
              <w:jc w:val="both"/>
              <w:rPr>
                <w:rFonts w:hint="default" w:ascii="Times New Roman" w:hAnsi="Times New Roman" w:eastAsia="宋体" w:cs="Times New Roman"/>
                <w:i w:val="0"/>
                <w:iCs w:val="0"/>
                <w:color w:val="auto"/>
                <w:sz w:val="21"/>
                <w:szCs w:val="21"/>
                <w:u w:val="none"/>
              </w:rPr>
            </w:pPr>
          </w:p>
        </w:tc>
        <w:tc>
          <w:tcPr>
            <w:tcW w:w="1262" w:type="pct"/>
            <w:vMerge w:val="continue"/>
            <w:tcBorders>
              <w:tl2br w:val="nil"/>
              <w:tr2bl w:val="nil"/>
            </w:tcBorders>
            <w:shd w:val="clear" w:color="auto" w:fill="auto"/>
            <w:vAlign w:val="center"/>
          </w:tcPr>
          <w:p>
            <w:pPr>
              <w:spacing w:line="240" w:lineRule="auto"/>
              <w:jc w:val="both"/>
              <w:rPr>
                <w:rFonts w:hint="default" w:ascii="Times New Roman" w:hAnsi="Times New Roman" w:eastAsia="宋体" w:cs="Times New Roman"/>
                <w:i w:val="0"/>
                <w:iCs w:val="0"/>
                <w:color w:val="auto"/>
                <w:sz w:val="21"/>
                <w:szCs w:val="21"/>
                <w:u w:val="none"/>
              </w:rPr>
            </w:pPr>
          </w:p>
        </w:tc>
        <w:tc>
          <w:tcPr>
            <w:tcW w:w="1643" w:type="pct"/>
            <w:vMerge w:val="continue"/>
            <w:tcBorders>
              <w:tl2br w:val="nil"/>
              <w:tr2bl w:val="nil"/>
            </w:tcBorders>
            <w:shd w:val="clear" w:color="auto" w:fill="auto"/>
            <w:vAlign w:val="center"/>
          </w:tcPr>
          <w:p>
            <w:pPr>
              <w:spacing w:line="240" w:lineRule="auto"/>
              <w:jc w:val="both"/>
              <w:rPr>
                <w:rFonts w:hint="default" w:ascii="Times New Roman" w:hAnsi="Times New Roman" w:eastAsia="宋体" w:cs="Times New Roman"/>
                <w:i w:val="0"/>
                <w:iCs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PrEx>
        <w:trPr>
          <w:trHeight w:val="765" w:hRule="atLeast"/>
        </w:trPr>
        <w:tc>
          <w:tcPr>
            <w:tcW w:w="454" w:type="pct"/>
            <w:vMerge w:val="continue"/>
            <w:tcBorders>
              <w:tl2br w:val="nil"/>
              <w:tr2bl w:val="nil"/>
            </w:tcBorders>
            <w:shd w:val="clear" w:color="auto" w:fill="auto"/>
            <w:vAlign w:val="center"/>
          </w:tcPr>
          <w:p>
            <w:pPr>
              <w:spacing w:line="240" w:lineRule="auto"/>
              <w:jc w:val="both"/>
              <w:rPr>
                <w:rFonts w:hint="default" w:ascii="Times New Roman" w:hAnsi="Times New Roman" w:eastAsia="宋体" w:cs="Times New Roman"/>
                <w:i w:val="0"/>
                <w:iCs w:val="0"/>
                <w:color w:val="auto"/>
                <w:sz w:val="21"/>
                <w:szCs w:val="21"/>
                <w:u w:val="none"/>
              </w:rPr>
            </w:pPr>
          </w:p>
        </w:tc>
        <w:tc>
          <w:tcPr>
            <w:tcW w:w="680"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水下开挖沉管</w:t>
            </w:r>
          </w:p>
        </w:tc>
        <w:tc>
          <w:tcPr>
            <w:tcW w:w="958"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常年有水，且水深不太深的常年性河流</w:t>
            </w:r>
          </w:p>
        </w:tc>
        <w:tc>
          <w:tcPr>
            <w:tcW w:w="1262"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施工速度快、工程费用一般较低。</w:t>
            </w:r>
          </w:p>
        </w:tc>
        <w:tc>
          <w:tcPr>
            <w:tcW w:w="164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开挖管沟施工质量较难控制、安全性较差、检修困难、影响通航。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350" w:hRule="atLeast"/>
        </w:trPr>
        <w:tc>
          <w:tcPr>
            <w:tcW w:w="454"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定向钻法穿越</w:t>
            </w:r>
          </w:p>
        </w:tc>
        <w:tc>
          <w:tcPr>
            <w:tcW w:w="680"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采用定向钻机钻孔、扩孔、回拖的方式</w:t>
            </w:r>
          </w:p>
        </w:tc>
        <w:tc>
          <w:tcPr>
            <w:tcW w:w="958"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砂土、粉土、粘土、亚粘土、软岩石</w:t>
            </w:r>
          </w:p>
        </w:tc>
        <w:tc>
          <w:tcPr>
            <w:tcW w:w="1262"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对地表干扰小；施工速度快；施工精度高、不影响通航、安全性较好；不受季节天气影响。</w:t>
            </w:r>
          </w:p>
        </w:tc>
        <w:tc>
          <w:tcPr>
            <w:tcW w:w="164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卵石、砾石、硬质岩石穿越难度大，施工技术要求高；需要回拖场地。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PrEx>
        <w:trPr>
          <w:trHeight w:val="1597" w:hRule="atLeast"/>
        </w:trPr>
        <w:tc>
          <w:tcPr>
            <w:tcW w:w="454"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隧道法穿越</w:t>
            </w:r>
          </w:p>
        </w:tc>
        <w:tc>
          <w:tcPr>
            <w:tcW w:w="680"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顶管法</w:t>
            </w:r>
          </w:p>
        </w:tc>
        <w:tc>
          <w:tcPr>
            <w:tcW w:w="958"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宽度不大的河流</w:t>
            </w:r>
          </w:p>
        </w:tc>
        <w:tc>
          <w:tcPr>
            <w:tcW w:w="1262" w:type="pct"/>
            <w:tcBorders>
              <w:tl2br w:val="nil"/>
              <w:tr2bl w:val="nil"/>
            </w:tcBorders>
            <w:shd w:val="clear" w:color="auto" w:fill="auto"/>
            <w:vAlign w:val="center"/>
          </w:tcPr>
          <w:p>
            <w:pPr>
              <w:keepNext w:val="0"/>
              <w:keepLines w:val="0"/>
              <w:widowControl/>
              <w:suppressLineNumbers w:val="0"/>
              <w:spacing w:line="240" w:lineRule="auto"/>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施工速度较快、机械化程度较高、安全性较好、不影响通航。</w:t>
            </w:r>
          </w:p>
        </w:tc>
        <w:tc>
          <w:tcPr>
            <w:tcW w:w="164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若两岸地层软弱，竖井施工较为困难，穿越长度较长时，所需推力太大，硬质岩石施工困难；施工周期长，技术要求高。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PrEx>
        <w:trPr>
          <w:trHeight w:val="1471" w:hRule="atLeast"/>
        </w:trPr>
        <w:tc>
          <w:tcPr>
            <w:tcW w:w="454" w:type="pct"/>
            <w:vMerge w:val="continue"/>
            <w:tcBorders>
              <w:tl2br w:val="nil"/>
              <w:tr2bl w:val="nil"/>
            </w:tcBorders>
            <w:shd w:val="clear" w:color="auto" w:fill="auto"/>
            <w:vAlign w:val="center"/>
          </w:tcPr>
          <w:p>
            <w:pPr>
              <w:spacing w:line="240" w:lineRule="auto"/>
              <w:jc w:val="both"/>
              <w:rPr>
                <w:rFonts w:hint="default" w:ascii="Times New Roman" w:hAnsi="Times New Roman" w:eastAsia="宋体" w:cs="Times New Roman"/>
                <w:i w:val="0"/>
                <w:iCs w:val="0"/>
                <w:color w:val="auto"/>
                <w:sz w:val="21"/>
                <w:szCs w:val="21"/>
                <w:u w:val="none"/>
              </w:rPr>
            </w:pPr>
          </w:p>
        </w:tc>
        <w:tc>
          <w:tcPr>
            <w:tcW w:w="680"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盾构法</w:t>
            </w:r>
          </w:p>
        </w:tc>
        <w:tc>
          <w:tcPr>
            <w:tcW w:w="958"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适用各种岩土体</w:t>
            </w:r>
          </w:p>
        </w:tc>
        <w:tc>
          <w:tcPr>
            <w:tcW w:w="1262"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施工速度较快，安全性较高、检修方便、对环境影响较小、不影响通航、可一隧多用。</w:t>
            </w:r>
          </w:p>
        </w:tc>
        <w:tc>
          <w:tcPr>
            <w:tcW w:w="164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施工机械复杂，施工场占地面积大，施工便道占地面积较大，防水治水难度大，工程费用较高，施工周期长，施工技术要求高，国内野外施工案例较少。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16" w:hRule="atLeast"/>
        </w:trPr>
        <w:tc>
          <w:tcPr>
            <w:tcW w:w="454" w:type="pct"/>
            <w:vMerge w:val="continue"/>
            <w:tcBorders>
              <w:tl2br w:val="nil"/>
              <w:tr2bl w:val="nil"/>
            </w:tcBorders>
            <w:shd w:val="clear" w:color="auto" w:fill="auto"/>
            <w:vAlign w:val="center"/>
          </w:tcPr>
          <w:p>
            <w:pPr>
              <w:spacing w:line="240" w:lineRule="auto"/>
              <w:jc w:val="both"/>
              <w:rPr>
                <w:rFonts w:hint="default" w:ascii="Times New Roman" w:hAnsi="Times New Roman" w:eastAsia="宋体" w:cs="Times New Roman"/>
                <w:i w:val="0"/>
                <w:iCs w:val="0"/>
                <w:color w:val="auto"/>
                <w:sz w:val="21"/>
                <w:szCs w:val="21"/>
                <w:u w:val="none"/>
              </w:rPr>
            </w:pPr>
          </w:p>
        </w:tc>
        <w:tc>
          <w:tcPr>
            <w:tcW w:w="680"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钻爆法</w:t>
            </w:r>
          </w:p>
        </w:tc>
        <w:tc>
          <w:tcPr>
            <w:tcW w:w="958"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适用于岩质河床</w:t>
            </w:r>
          </w:p>
        </w:tc>
        <w:tc>
          <w:tcPr>
            <w:tcW w:w="1262"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工程质量易于控制，管理维修方便，安全性较好、检修方便、不影响通航、可一隧多用，不受季节影响。</w:t>
            </w:r>
          </w:p>
        </w:tc>
        <w:tc>
          <w:tcPr>
            <w:tcW w:w="164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施工条件稍差，施工风险较高，防水治水难度大，工程费用较高，不适用于软弱、破碎围岩；施工周期长。</w:t>
            </w:r>
          </w:p>
        </w:tc>
      </w:tr>
    </w:tbl>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常用跨越方式的优缺点比较如下： </w:t>
      </w:r>
    </w:p>
    <w:p>
      <w:pPr>
        <w:keepNext w:val="0"/>
        <w:keepLines w:val="0"/>
        <w:widowControl/>
        <w:suppressLineNumbers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kern w:val="0"/>
          <w:sz w:val="24"/>
          <w:szCs w:val="24"/>
          <w:lang w:val="en-US" w:eastAsia="zh-CN" w:bidi="ar"/>
        </w:rPr>
        <w:t>表 1.10-2 跨越方式及适用条件一览表</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1"/>
        <w:gridCol w:w="1136"/>
        <w:gridCol w:w="2828"/>
        <w:gridCol w:w="43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dxa"/>
            <w:vAlign w:val="center"/>
          </w:tcPr>
          <w:p>
            <w:pPr>
              <w:pStyle w:val="2"/>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跨越方式</w:t>
            </w:r>
          </w:p>
        </w:tc>
        <w:tc>
          <w:tcPr>
            <w:tcW w:w="1136" w:type="dxa"/>
            <w:vAlign w:val="center"/>
          </w:tcPr>
          <w:p>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适用条件</w:t>
            </w:r>
          </w:p>
        </w:tc>
        <w:tc>
          <w:tcPr>
            <w:tcW w:w="2828" w:type="dxa"/>
            <w:vAlign w:val="center"/>
          </w:tcPr>
          <w:p>
            <w:pPr>
              <w:pStyle w:val="2"/>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优点</w:t>
            </w:r>
          </w:p>
        </w:tc>
        <w:tc>
          <w:tcPr>
            <w:tcW w:w="4399" w:type="dxa"/>
            <w:vAlign w:val="center"/>
          </w:tcPr>
          <w:p>
            <w:pPr>
              <w:pStyle w:val="2"/>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缺点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dxa"/>
            <w:vAlign w:val="center"/>
          </w:tcPr>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桁架</w:t>
            </w:r>
          </w:p>
        </w:tc>
        <w:tc>
          <w:tcPr>
            <w:tcW w:w="1136" w:type="dxa"/>
            <w:vAlign w:val="center"/>
          </w:tcPr>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适用于跨度较小的中小型跨越</w:t>
            </w:r>
          </w:p>
        </w:tc>
        <w:tc>
          <w:tcPr>
            <w:tcW w:w="2828" w:type="dxa"/>
            <w:vAlign w:val="center"/>
          </w:tcPr>
          <w:p>
            <w:pPr>
              <w:keepNext w:val="0"/>
              <w:keepLines w:val="0"/>
              <w:widowControl/>
              <w:numPr>
                <w:ilvl w:val="0"/>
                <w:numId w:val="0"/>
              </w:numPr>
              <w:suppressLineNumbers w:val="0"/>
              <w:spacing w:line="240" w:lineRule="auto"/>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1、技术成熟；</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2、结构施工方便；</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3、结构总体刚度大，利于抗风；</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4、管道安装简便。</w:t>
            </w:r>
          </w:p>
        </w:tc>
        <w:tc>
          <w:tcPr>
            <w:tcW w:w="4399" w:type="dxa"/>
            <w:vAlign w:val="center"/>
          </w:tcPr>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1、结构自重较大，使得跨距受限，主要适合于中小跨越，在河道中设置支墩会影响通航；</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2、基础工程量大；</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3、河中基础及桥塔对通航有一定影响；</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4、桥墩较高，施工困难，变形不易控制；</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5、桥墩和桩基础施工需要专业的队伍；</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6、桁架重量较大，安装就位问题需要施工方根据具体情况实施。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dxa"/>
            <w:vAlign w:val="center"/>
          </w:tcPr>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悬索</w:t>
            </w:r>
          </w:p>
        </w:tc>
        <w:tc>
          <w:tcPr>
            <w:tcW w:w="1136" w:type="dxa"/>
            <w:vAlign w:val="center"/>
          </w:tcPr>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适用于跨距较大的大型跨越管道</w:t>
            </w:r>
          </w:p>
        </w:tc>
        <w:tc>
          <w:tcPr>
            <w:tcW w:w="2828" w:type="dxa"/>
            <w:vAlign w:val="center"/>
          </w:tcPr>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1、技术成熟；</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2、可以一跨过河，避免了在河道中建桥墩和基础；</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3、对河道影响较小，桥塔位于岸上，桩基础和桥塔施工方便；</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4、属于柔性结构，利于结构抗震。</w:t>
            </w:r>
          </w:p>
        </w:tc>
        <w:tc>
          <w:tcPr>
            <w:tcW w:w="4399" w:type="dxa"/>
            <w:vAlign w:val="center"/>
          </w:tcPr>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1、挂索施工难度较大；</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2、缆索运输难度较大；</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3、需要设置抗风索；</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4、混凝土桥塔和桩基础施工需要专业的队伍；</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5、主缆的运输与施工，需要专业化施工队伍。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dxa"/>
            <w:vAlign w:val="center"/>
          </w:tcPr>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斜拉索</w:t>
            </w:r>
          </w:p>
        </w:tc>
        <w:tc>
          <w:tcPr>
            <w:tcW w:w="1136" w:type="dxa"/>
            <w:vAlign w:val="center"/>
          </w:tcPr>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适用于更大跨距的大型跨越</w:t>
            </w:r>
          </w:p>
        </w:tc>
        <w:tc>
          <w:tcPr>
            <w:tcW w:w="2828" w:type="dxa"/>
            <w:vAlign w:val="center"/>
          </w:tcPr>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1、技术成熟；</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2、相对于悬索，避免了主缆的使用，斜拉索运输和施工较为简便；</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3、桥面较悬索具有一定刚度，利于整体稳定。</w:t>
            </w:r>
          </w:p>
        </w:tc>
        <w:tc>
          <w:tcPr>
            <w:tcW w:w="4399" w:type="dxa"/>
            <w:vAlign w:val="center"/>
          </w:tcPr>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1、挂索施工难度较大；</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2、缆索运输难度较大；</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3、需要设置抗风索；</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4、混凝土桥塔和桩基础施工需要专业的队伍；</w:t>
            </w:r>
          </w:p>
          <w:p>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5、主缆的运输与施工，需要专业化施工队伍。</w:t>
            </w:r>
          </w:p>
        </w:tc>
      </w:tr>
    </w:tbl>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一般情况下，管道穿越方式与跨越方式相比较，由于穿越方式的管道埋入地下，受环境影响小，安全性好，节省投资，施工期短，施工技术难度小，有利于维护和管理等优点，在工程实践中，大多采用穿越方式通过江河湖泊等水域。而跨越方式虽然有后期维护方便的优点，但是由于管线裸露，容易受到外部环境的侵蚀和人为破坏，需要进行安全值守。近几年我国建设的大型石油天然气管线工程，除在峡谷、冲沟等地形复杂、地势险要处采用跨越方式外，一般均采用穿越方式</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中贵线与元坝-普光输气管道沿线地形主要为山区、丘陵，输气管道线路沿线需要通过的河流较多，穿跨越方式的选择应该根据地形地貌、水文、工程地质、环境、交通运输等多方面因素综合分析，以确保管道安全、满足总体工期要求为前提，尽量选择投资低、施工简单的穿越方式。</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本工程穿越方案的设计的总体原则穿越为主，跨越为辅。主要涉及原则如下：</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1、由于管线跨越工程投资大，施工较为复杂，建成后维护工作量较大，因此管道通过水域时优先采用穿越方式。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在穿越方案的选择上，要针对本工程管道穿越水域的水面宽度、流量、流速、通航等级、河岸堤防等级等情况，根据河流形态、水文参数、工程地质及水文地质条件等综合考虑，确定合理的穿越方式。对于河流大中型穿跨越，尽量采用非开挖方式，以减少工程量和对河道的影响；对河流小型穿越，可根据具体情况考虑采用大开挖方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定向钻穿越是一种先进的非开挖管线穿越施工方法，施工时完全在水域两岸陆地上进行，具有不破坏河堤或水域堤防、不扰动河床、不影响通航、施工周期短、管道运营安全、综合造价低等优点。为满足水域保护的相关要求，对于水域大中型穿越在地质条件适宜的条件下，应优先考虑采用定向钻穿越。 </w:t>
      </w:r>
    </w:p>
    <w:p>
      <w:pPr>
        <w:pStyle w:val="2"/>
        <w:jc w:val="both"/>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1.10.4本工程河流大中型穿越</w:t>
      </w:r>
    </w:p>
    <w:p>
      <w:pPr>
        <w:pStyle w:val="2"/>
        <w:numPr>
          <w:ilvl w:val="0"/>
          <w:numId w:val="5"/>
        </w:numPr>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东河穿越</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（1）穿越位置选择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东河穿越所在位置区域上属低山丘陵地貌，地势起伏较大。穿越断面位置属于山（丘）间河谷地貌，穿越断面处河道呈 S 形，河床呈宽缓 U 形，勘察期水面宽约 300m。右岸为凸岸，地势相对平缓，一般相对高差小于 8.0m，地表覆盖层相对较厚，以第四系全新统冲洪积（Q</w:t>
      </w:r>
      <w:r>
        <w:rPr>
          <w:rFonts w:hint="default" w:ascii="Times New Roman" w:hAnsi="Times New Roman" w:eastAsia="宋体" w:cs="Times New Roman"/>
          <w:color w:val="auto"/>
          <w:kern w:val="0"/>
          <w:sz w:val="24"/>
          <w:szCs w:val="24"/>
          <w:vertAlign w:val="subscript"/>
          <w:lang w:val="en-US" w:eastAsia="zh-CN" w:bidi="ar"/>
        </w:rPr>
        <w:t>h</w:t>
      </w:r>
      <w:r>
        <w:rPr>
          <w:rFonts w:hint="default" w:ascii="Times New Roman" w:hAnsi="Times New Roman" w:eastAsia="宋体" w:cs="Times New Roman"/>
          <w:color w:val="auto"/>
          <w:kern w:val="0"/>
          <w:sz w:val="12"/>
          <w:szCs w:val="12"/>
          <w:lang w:val="en-US" w:eastAsia="zh-CN" w:bidi="ar"/>
        </w:rPr>
        <w:t xml:space="preserve"> </w:t>
      </w:r>
      <w:r>
        <w:rPr>
          <w:rFonts w:hint="default" w:ascii="Times New Roman" w:hAnsi="Times New Roman" w:eastAsia="宋体" w:cs="Times New Roman"/>
          <w:color w:val="auto"/>
          <w:kern w:val="0"/>
          <w:sz w:val="24"/>
          <w:szCs w:val="24"/>
          <w:vertAlign w:val="superscript"/>
          <w:lang w:val="en-US" w:eastAsia="zh-CN" w:bidi="ar"/>
        </w:rPr>
        <w:t>al+pl</w:t>
      </w:r>
      <w:r>
        <w:rPr>
          <w:rFonts w:hint="default" w:ascii="Times New Roman" w:hAnsi="Times New Roman" w:eastAsia="宋体" w:cs="Times New Roman"/>
          <w:color w:val="auto"/>
          <w:kern w:val="0"/>
          <w:sz w:val="24"/>
          <w:szCs w:val="24"/>
          <w:lang w:val="en-US" w:eastAsia="zh-CN" w:bidi="ar"/>
        </w:rPr>
        <w:t>）砂土、卵石和粉质黏土等为主，一般厚度 5～10 余米不等；左岸为凹岸，河流弯道侧蚀作用强烈，岸坡相对较陡，一般相对高差 30～50m 不等，地表覆盖层相对较薄，以第四系全新统坡残积（Q</w:t>
      </w:r>
      <w:r>
        <w:rPr>
          <w:rFonts w:hint="default" w:ascii="Times New Roman" w:hAnsi="Times New Roman" w:eastAsia="宋体" w:cs="Times New Roman"/>
          <w:color w:val="auto"/>
          <w:kern w:val="0"/>
          <w:sz w:val="12"/>
          <w:szCs w:val="12"/>
          <w:lang w:val="en-US" w:eastAsia="zh-CN" w:bidi="ar"/>
        </w:rPr>
        <w:t>hdl+el</w:t>
      </w:r>
      <w:r>
        <w:rPr>
          <w:rFonts w:hint="default" w:ascii="Times New Roman" w:hAnsi="Times New Roman" w:eastAsia="宋体" w:cs="Times New Roman"/>
          <w:color w:val="auto"/>
          <w:kern w:val="0"/>
          <w:sz w:val="24"/>
          <w:szCs w:val="24"/>
          <w:lang w:val="en-US" w:eastAsia="zh-CN" w:bidi="ar"/>
        </w:rPr>
        <w:t>）粉质黏土、碎石土等为主，一般厚度 1～5m 不等。穿越断面下覆基岩为白垩系下统白龙组（K</w:t>
      </w:r>
      <w:r>
        <w:rPr>
          <w:rFonts w:hint="default" w:ascii="Times New Roman" w:hAnsi="Times New Roman" w:eastAsia="宋体" w:cs="Times New Roman"/>
          <w:color w:val="auto"/>
          <w:kern w:val="0"/>
          <w:sz w:val="12"/>
          <w:szCs w:val="12"/>
          <w:lang w:val="en-US" w:eastAsia="zh-CN" w:bidi="ar"/>
        </w:rPr>
        <w:t>1</w:t>
      </w:r>
      <w:r>
        <w:rPr>
          <w:rFonts w:hint="default" w:ascii="Times New Roman" w:hAnsi="Times New Roman" w:eastAsia="宋体" w:cs="Times New Roman"/>
          <w:color w:val="auto"/>
          <w:kern w:val="0"/>
          <w:sz w:val="15"/>
          <w:szCs w:val="15"/>
          <w:lang w:val="en-US" w:eastAsia="zh-CN" w:bidi="ar"/>
        </w:rPr>
        <w:t>b</w:t>
      </w:r>
      <w:r>
        <w:rPr>
          <w:rFonts w:hint="default" w:ascii="Times New Roman" w:hAnsi="Times New Roman" w:eastAsia="宋体" w:cs="Times New Roman"/>
          <w:color w:val="auto"/>
          <w:kern w:val="0"/>
          <w:sz w:val="24"/>
          <w:szCs w:val="24"/>
          <w:lang w:val="en-US" w:eastAsia="zh-CN" w:bidi="ar"/>
        </w:rPr>
        <w:t>）灰～浅灰色块状中细粒长石砂岩与紫红色钙泥质粉砂岩、钙质泥岩互层，岩体较为完整，局部差异风化较严重。且该区域内存在生态红线范围和一、二级水源保护区。</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根据线路总走向和地方规划，通过现场踏勘和调研，初步拟选穿越段位于穿越位置位于位于广元市苍溪县王渡镇和云峰镇，交通条件，较便利如图1.10-1。</w:t>
      </w:r>
    </w:p>
    <w:p>
      <w:pPr>
        <w:widowControl w:val="0"/>
        <w:numPr>
          <w:ilvl w:val="0"/>
          <w:numId w:val="0"/>
        </w:numPr>
        <w:spacing w:line="480" w:lineRule="exact"/>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rPr>
        <w:drawing>
          <wp:anchor distT="0" distB="0" distL="114300" distR="114300" simplePos="0" relativeHeight="251665408" behindDoc="0" locked="0" layoutInCell="1" allowOverlap="1">
            <wp:simplePos x="0" y="0"/>
            <wp:positionH relativeFrom="column">
              <wp:posOffset>645160</wp:posOffset>
            </wp:positionH>
            <wp:positionV relativeFrom="paragraph">
              <wp:posOffset>26035</wp:posOffset>
            </wp:positionV>
            <wp:extent cx="4231640" cy="3453765"/>
            <wp:effectExtent l="0" t="0" r="16510" b="13335"/>
            <wp:wrapTopAndBottom/>
            <wp:docPr id="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
                    <pic:cNvPicPr>
                      <a:picLocks noChangeAspect="1"/>
                    </pic:cNvPicPr>
                  </pic:nvPicPr>
                  <pic:blipFill>
                    <a:blip r:embed="rId15"/>
                    <a:srcRect l="16624" t="13180" r="30859" b="10619"/>
                    <a:stretch>
                      <a:fillRect/>
                    </a:stretch>
                  </pic:blipFill>
                  <pic:spPr>
                    <a:xfrm>
                      <a:off x="0" y="0"/>
                      <a:ext cx="4231640" cy="3453765"/>
                    </a:xfrm>
                    <a:prstGeom prst="rect">
                      <a:avLst/>
                    </a:prstGeom>
                    <a:noFill/>
                    <a:ln>
                      <a:noFill/>
                    </a:ln>
                  </pic:spPr>
                </pic:pic>
              </a:graphicData>
            </a:graphic>
          </wp:anchor>
        </w:drawing>
      </w:r>
      <w:r>
        <w:rPr>
          <w:rFonts w:hint="default" w:ascii="Times New Roman" w:hAnsi="Times New Roman" w:eastAsia="宋体" w:cs="Times New Roman"/>
          <w:b/>
          <w:bCs/>
          <w:color w:val="auto"/>
          <w:lang w:val="en-US" w:eastAsia="zh-CN"/>
        </w:rPr>
        <w:t>图1.10-1 东河穿越位置图</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根据《可研》，拟选如图所示 3 个穿越位置：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1、位置 1 ：该位置位于水坝下游，北岸高差较大，有乡道可以到达入土点附近，可用于施工机具进场，南岸沿河道漫滩地势平缓，有较好的施工及回拖场地，该位置存在一处中石化元坝-德阳输气管道工程的东河穿越，穿越轴线距本工程拟选位置较近。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2、位置 2 ：该位置位于水坝上游，与上游桥梁之间弯道处，河道内存在采砂情况，东岸高差较大，有一冲沟地势相对较低，可作为施工场地，西岸地势平缓，存在村落和其他小型燃气管道，有较好的施工及回拖场地。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3、位置 3 ：该位置离中土乡较近，两岸高差均较大，该位置可采用隧道法进行穿越，具备隧道穿越施工场地条件。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位置 2 东岸为冲沟，雨季水流在此汇入东河，本工程管径较大，穿越距离较长，施工周期较长，难免在雨季进行施工，此处施工风险较大，防护措施工程量也相对较大，且该处高差相对位置 1 北岸高差更大，入土角的选择和地层的选择也将收到限制。位置 1 虽然存在在建管道，但做好该管道位置调研和勘测，本工程施工时做好防护和控向工作，可保证管道安全穿越。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综上所述，位置 1 较适合定向钻穿越，位置 3 适合隧道法穿越，结合后面穿越方式选择将位置 1 和位置 3 进行比选。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（2）穿越方案选择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大开挖方案：东河面宽度约 300 米，开挖工程量较大，且风险较大，河道，环保等部门原则上不建议采用开挖方式，因此现阶段暂时考虑非开挖方式。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钻爆法隧道方案：穿越断面下覆基岩为白垩系下统白龙组（K</w:t>
      </w:r>
      <w:r>
        <w:rPr>
          <w:rFonts w:hint="default" w:ascii="Times New Roman" w:hAnsi="Times New Roman" w:eastAsia="宋体" w:cs="Times New Roman"/>
          <w:color w:val="auto"/>
          <w:kern w:val="0"/>
          <w:sz w:val="12"/>
          <w:szCs w:val="12"/>
          <w:lang w:val="en-US" w:eastAsia="zh-CN" w:bidi="ar"/>
        </w:rPr>
        <w:t>1</w:t>
      </w:r>
      <w:r>
        <w:rPr>
          <w:rFonts w:hint="default" w:ascii="Times New Roman" w:hAnsi="Times New Roman" w:eastAsia="宋体" w:cs="Times New Roman"/>
          <w:color w:val="auto"/>
          <w:kern w:val="0"/>
          <w:sz w:val="15"/>
          <w:szCs w:val="15"/>
          <w:lang w:val="en-US" w:eastAsia="zh-CN" w:bidi="ar"/>
        </w:rPr>
        <w:t>b</w:t>
      </w:r>
      <w:r>
        <w:rPr>
          <w:rFonts w:hint="default" w:ascii="Times New Roman" w:hAnsi="Times New Roman" w:eastAsia="宋体" w:cs="Times New Roman"/>
          <w:color w:val="auto"/>
          <w:kern w:val="0"/>
          <w:sz w:val="24"/>
          <w:szCs w:val="24"/>
          <w:lang w:val="en-US" w:eastAsia="zh-CN" w:bidi="ar"/>
        </w:rPr>
        <w:t xml:space="preserve">）灰～浅灰色块状中细粒长石砂岩与紫红色钙泥质粉砂岩、钙质泥岩互层，岩体较为完整，适合钻爆法隧道穿越。可将该方式进行比选。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盾构法隧道方案：竖井建造难度较大，风险大，费用较高；隧道施工难度大，且该穿越对盾构隧道来说长度较短，工程造价明显最高，且施工工期较长，其他方案可行的情况下暂不予考虑盾构法。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顶管法隧道方案：该穿越处地层除卵石层外较适宜顶管穿越，但两岸高差较大，竖井深度较大，穿越长度达 1000m，施工风险巨大，工期较长，暂不该方案。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定向钻穿越方案：穿越处除砾砂、卵石层外均为定向钻有利地层，两岸虽高差较大，但基本能满足定向钻钻机设备和管道安装回拖场地要求，交通也较为便利。施工完毕后可原貌恢复，有利于环境保护。下覆基岩层可钻性较好，定向钻可以选择较为有利地层进行穿越，虽然砂土、粉质粘土等地层可能发生塌孔、漏浆等风险，成孔有一定难度，但目前已有较成熟该地层施工经验。地层中含有砾砂、卵石，但可采用夯管等方式解决</w:t>
      </w:r>
      <w:r>
        <w:rPr>
          <w:rFonts w:hint="eastAsia" w:ascii="Times New Roman" w:hAnsi="Times New Roman" w:cs="Times New Roman"/>
          <w:color w:val="auto"/>
          <w:kern w:val="0"/>
          <w:sz w:val="24"/>
          <w:szCs w:val="24"/>
          <w:lang w:val="en-US" w:eastAsia="zh-CN" w:bidi="ar"/>
        </w:rPr>
        <w:t>。</w:t>
      </w:r>
    </w:p>
    <w:p>
      <w:pPr>
        <w:keepNext w:val="0"/>
        <w:keepLines w:val="0"/>
        <w:widowControl/>
        <w:suppressLineNumbers w:val="0"/>
        <w:jc w:val="center"/>
        <w:rPr>
          <w:rFonts w:hint="default" w:ascii="Times New Roman" w:hAnsi="Times New Roman" w:eastAsia="宋体" w:cs="Times New Roman"/>
          <w:b/>
          <w:bCs/>
          <w:color w:val="auto"/>
          <w:lang w:val="en-US" w:eastAsia="zh-CN"/>
        </w:rPr>
      </w:pPr>
    </w:p>
    <w:p>
      <w:pPr>
        <w:keepNext w:val="0"/>
        <w:keepLines w:val="0"/>
        <w:widowControl/>
        <w:suppressLineNumbers w:val="0"/>
        <w:jc w:val="center"/>
        <w:rPr>
          <w:rFonts w:hint="default" w:ascii="Times New Roman" w:hAnsi="Times New Roman" w:eastAsia="宋体" w:cs="Times New Roman"/>
          <w:b/>
          <w:bCs/>
          <w:color w:val="auto"/>
          <w:lang w:val="en-US" w:eastAsia="zh-CN"/>
        </w:rPr>
      </w:pPr>
    </w:p>
    <w:p>
      <w:pPr>
        <w:keepNext w:val="0"/>
        <w:keepLines w:val="0"/>
        <w:widowControl/>
        <w:suppressLineNumbers w:val="0"/>
        <w:jc w:val="center"/>
        <w:rPr>
          <w:rFonts w:hint="default" w:ascii="Times New Roman" w:hAnsi="Times New Roman" w:eastAsia="宋体" w:cs="Times New Roman"/>
          <w:color w:val="auto"/>
        </w:rPr>
      </w:pPr>
      <w:r>
        <w:rPr>
          <w:rFonts w:hint="default" w:ascii="Times New Roman" w:hAnsi="Times New Roman" w:eastAsia="宋体" w:cs="Times New Roman"/>
          <w:b/>
          <w:bCs/>
          <w:color w:val="auto"/>
          <w:lang w:val="en-US" w:eastAsia="zh-CN"/>
        </w:rPr>
        <w:t>表1.10.3 东河穿越方案比较表</w:t>
      </w:r>
    </w:p>
    <w:tbl>
      <w:tblPr>
        <w:tblStyle w:val="24"/>
        <w:tblW w:w="4996" w:type="pct"/>
        <w:tblInd w:w="0" w:type="dxa"/>
        <w:shd w:val="clear" w:color="auto" w:fill="auto"/>
        <w:tblLayout w:type="autofit"/>
        <w:tblCellMar>
          <w:top w:w="0" w:type="dxa"/>
          <w:left w:w="108" w:type="dxa"/>
          <w:bottom w:w="0" w:type="dxa"/>
          <w:right w:w="108" w:type="dxa"/>
        </w:tblCellMar>
      </w:tblPr>
      <w:tblGrid>
        <w:gridCol w:w="1714"/>
        <w:gridCol w:w="2867"/>
        <w:gridCol w:w="4586"/>
      </w:tblGrid>
      <w:tr>
        <w:tblPrEx>
          <w:shd w:val="clear" w:color="auto" w:fill="auto"/>
          <w:tblCellMar>
            <w:top w:w="0" w:type="dxa"/>
            <w:left w:w="108" w:type="dxa"/>
            <w:bottom w:w="0" w:type="dxa"/>
            <w:right w:w="108" w:type="dxa"/>
          </w:tblCellMar>
        </w:tblPrEx>
        <w:trPr>
          <w:trHeight w:val="270" w:hRule="atLeast"/>
        </w:trPr>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方案</w:t>
            </w:r>
          </w:p>
        </w:tc>
        <w:tc>
          <w:tcPr>
            <w:tcW w:w="15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定向钻穿越</w:t>
            </w:r>
          </w:p>
        </w:tc>
        <w:tc>
          <w:tcPr>
            <w:tcW w:w="25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钻爆隧道方案</w:t>
            </w:r>
          </w:p>
        </w:tc>
      </w:tr>
      <w:tr>
        <w:tblPrEx>
          <w:shd w:val="clear" w:color="auto" w:fill="auto"/>
          <w:tblCellMar>
            <w:top w:w="0" w:type="dxa"/>
            <w:left w:w="108" w:type="dxa"/>
            <w:bottom w:w="0" w:type="dxa"/>
            <w:right w:w="108" w:type="dxa"/>
          </w:tblCellMar>
        </w:tblPrEx>
        <w:trPr>
          <w:trHeight w:val="270" w:hRule="atLeast"/>
        </w:trPr>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穿越长度（m）</w:t>
            </w:r>
          </w:p>
        </w:tc>
        <w:tc>
          <w:tcPr>
            <w:tcW w:w="15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1300</w:t>
            </w:r>
          </w:p>
        </w:tc>
        <w:tc>
          <w:tcPr>
            <w:tcW w:w="25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1250</w:t>
            </w:r>
          </w:p>
        </w:tc>
      </w:tr>
      <w:tr>
        <w:tblPrEx>
          <w:shd w:val="clear" w:color="auto" w:fill="auto"/>
          <w:tblCellMar>
            <w:top w:w="0" w:type="dxa"/>
            <w:left w:w="108" w:type="dxa"/>
            <w:bottom w:w="0" w:type="dxa"/>
            <w:right w:w="108" w:type="dxa"/>
          </w:tblCellMar>
        </w:tblPrEx>
        <w:trPr>
          <w:trHeight w:val="810" w:hRule="atLeast"/>
        </w:trPr>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相同闭合点间连接线路（除穿越）（m）</w:t>
            </w:r>
          </w:p>
        </w:tc>
        <w:tc>
          <w:tcPr>
            <w:tcW w:w="15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1100</w:t>
            </w:r>
          </w:p>
        </w:tc>
        <w:tc>
          <w:tcPr>
            <w:tcW w:w="25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r>
      <w:tr>
        <w:tblPrEx>
          <w:shd w:val="clear" w:color="auto" w:fill="auto"/>
          <w:tblCellMar>
            <w:top w:w="0" w:type="dxa"/>
            <w:left w:w="108" w:type="dxa"/>
            <w:bottom w:w="0" w:type="dxa"/>
            <w:right w:w="108" w:type="dxa"/>
          </w:tblCellMar>
        </w:tblPrEx>
        <w:trPr>
          <w:trHeight w:val="270" w:hRule="atLeast"/>
        </w:trPr>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投资估算（万元）</w:t>
            </w:r>
          </w:p>
        </w:tc>
        <w:tc>
          <w:tcPr>
            <w:tcW w:w="15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5041</w:t>
            </w:r>
          </w:p>
        </w:tc>
        <w:tc>
          <w:tcPr>
            <w:tcW w:w="25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6000</w:t>
            </w:r>
          </w:p>
        </w:tc>
      </w:tr>
      <w:tr>
        <w:tblPrEx>
          <w:tblCellMar>
            <w:top w:w="0" w:type="dxa"/>
            <w:left w:w="108" w:type="dxa"/>
            <w:bottom w:w="0" w:type="dxa"/>
            <w:right w:w="108" w:type="dxa"/>
          </w:tblCellMar>
        </w:tblPrEx>
        <w:trPr>
          <w:trHeight w:val="270" w:hRule="atLeast"/>
        </w:trPr>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穿越施工期（月）</w:t>
            </w:r>
          </w:p>
        </w:tc>
        <w:tc>
          <w:tcPr>
            <w:tcW w:w="15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6~7</w:t>
            </w:r>
          </w:p>
        </w:tc>
        <w:tc>
          <w:tcPr>
            <w:tcW w:w="25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11~12</w:t>
            </w:r>
          </w:p>
        </w:tc>
      </w:tr>
      <w:tr>
        <w:tblPrEx>
          <w:shd w:val="clear" w:color="auto" w:fill="auto"/>
          <w:tblCellMar>
            <w:top w:w="0" w:type="dxa"/>
            <w:left w:w="108" w:type="dxa"/>
            <w:bottom w:w="0" w:type="dxa"/>
            <w:right w:w="108" w:type="dxa"/>
          </w:tblCellMar>
        </w:tblPrEx>
        <w:trPr>
          <w:trHeight w:val="1350" w:hRule="atLeast"/>
        </w:trPr>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优点</w:t>
            </w:r>
          </w:p>
        </w:tc>
        <w:tc>
          <w:tcPr>
            <w:tcW w:w="15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1.施工周期短、工艺简单、技术成熟；</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2.投资相对较省；</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3. 对河道和环境无影响，受季节影响较小。</w:t>
            </w:r>
          </w:p>
        </w:tc>
        <w:tc>
          <w:tcPr>
            <w:tcW w:w="25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1.对河道的影响较小。</w:t>
            </w:r>
          </w:p>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1"/>
                <w:szCs w:val="21"/>
                <w:lang w:val="en-US" w:eastAsia="zh-CN" w:bidi="ar"/>
              </w:rPr>
              <w:t xml:space="preserve">2.管道埋设于隧道中，安全可靠； </w:t>
            </w:r>
          </w:p>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1"/>
                <w:szCs w:val="21"/>
                <w:lang w:val="en-US" w:eastAsia="zh-CN" w:bidi="ar"/>
              </w:rPr>
              <w:t xml:space="preserve">3.穿越管段可进行维护与检修； </w:t>
            </w:r>
          </w:p>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1"/>
                <w:szCs w:val="21"/>
                <w:lang w:val="en-US" w:eastAsia="zh-CN" w:bidi="ar"/>
              </w:rPr>
              <w:t xml:space="preserve">4.对环境污染危害少。 </w:t>
            </w:r>
          </w:p>
          <w:p>
            <w:pPr>
              <w:keepNext w:val="0"/>
              <w:keepLines w:val="0"/>
              <w:widowControl/>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p>
        </w:tc>
      </w:tr>
      <w:tr>
        <w:tblPrEx>
          <w:tblCellMar>
            <w:top w:w="0" w:type="dxa"/>
            <w:left w:w="108" w:type="dxa"/>
            <w:bottom w:w="0" w:type="dxa"/>
            <w:right w:w="108" w:type="dxa"/>
          </w:tblCellMar>
        </w:tblPrEx>
        <w:trPr>
          <w:trHeight w:val="2160" w:hRule="atLeast"/>
        </w:trPr>
        <w:tc>
          <w:tcPr>
            <w:tcW w:w="9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缺点</w:t>
            </w:r>
          </w:p>
        </w:tc>
        <w:tc>
          <w:tcPr>
            <w:tcW w:w="15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1.两岸高差较大；</w:t>
            </w:r>
          </w:p>
          <w:p>
            <w:pPr>
              <w:keepNext w:val="0"/>
              <w:keepLines w:val="0"/>
              <w:widowControl/>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2.与在建管道距离较近；</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3.基岩钻进距离较长，有一定风险。</w:t>
            </w:r>
          </w:p>
        </w:tc>
        <w:tc>
          <w:tcPr>
            <w:tcW w:w="25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1.永久占地面积较大，存在大量弃渣，对环境影响较大；</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2.地下水位高，竖井支护工程量和施工难度大，施工技术较高，需定期维护，风险较高</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3.穿越距离较长，风险相对较大；</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4.投资高，</w:t>
            </w:r>
            <w:r>
              <w:rPr>
                <w:rFonts w:hint="default" w:ascii="Times New Roman" w:hAnsi="Times New Roman" w:eastAsia="宋体" w:cs="Times New Roman"/>
                <w:color w:val="auto"/>
                <w:kern w:val="0"/>
                <w:sz w:val="21"/>
                <w:szCs w:val="21"/>
                <w:lang w:val="en-US" w:eastAsia="zh-CN" w:bidi="ar"/>
              </w:rPr>
              <w:t>穿越位置附近有村民聚居，爆破施工对居民影响大，并且穿越位置上游约 450m 为梨苑滩水电站，爆破需对其做相关安全评价</w:t>
            </w:r>
            <w:r>
              <w:rPr>
                <w:rFonts w:hint="default"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5.工期长。</w:t>
            </w:r>
          </w:p>
        </w:tc>
      </w:tr>
    </w:tbl>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1"/>
          <w:szCs w:val="21"/>
          <w:lang w:val="en-US" w:eastAsia="zh-CN" w:bidi="ar"/>
        </w:rPr>
        <w:t xml:space="preserve">注：1）工期不包括三通一平、手续报批和意外情况处理等时间。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综上，钻爆隧道方案竖井深度较大，施工难度相对大，造价较大，工期较长，不确定因素较多。同时，钻爆隧道存在大量的弃渣，对环境和土地的利用影响较大，且钻爆法施工对周围民房将产生影响。定向钻穿越管道埋设较深，对管道、河道、航运的安全性都有利。定向钻方案相对钻爆隧道法工期较短，造价明显较低，且具有永久占地少、环保等优点。根据河道、两岸场地情况及初步地质分析，本阶段暂拟采用定向钻方式穿越。</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根据环评核查，本工程东河穿越区域</w:t>
      </w:r>
      <w:r>
        <w:rPr>
          <w:rFonts w:hint="eastAsia" w:ascii="Times New Roman" w:hAnsi="Times New Roman" w:cs="Times New Roman"/>
          <w:color w:val="auto"/>
          <w:kern w:val="0"/>
          <w:sz w:val="24"/>
          <w:szCs w:val="24"/>
          <w:lang w:val="en-US" w:eastAsia="zh-CN" w:bidi="ar"/>
        </w:rPr>
        <w:t>不是</w:t>
      </w:r>
      <w:r>
        <w:rPr>
          <w:rFonts w:hint="default" w:ascii="Times New Roman" w:hAnsi="Times New Roman" w:eastAsia="宋体" w:cs="Times New Roman"/>
          <w:color w:val="auto"/>
          <w:kern w:val="0"/>
          <w:sz w:val="24"/>
          <w:szCs w:val="24"/>
          <w:lang w:val="en-US" w:eastAsia="zh-CN" w:bidi="ar"/>
        </w:rPr>
        <w:t>珍稀鱼类保护区，但穿越位置属于饮云峰镇王渡社区饮用水二级保护区内。隧道虽穿越长度短，但需要拆迁房屋、电杆，穿越位置上游约 450m 为梨苑滩水电站，爆破施工需对其做相关安全性评价。定向钻穿越长度长，但工程投资相对较低，施工安全环保，对周围居民影响小，根据穿越位置处东河两岸岸坡出露的基岩，可初步推测卵石层主要分布在东河主河床中，河道两岸卵石层层位较浅，东河两岸、主河床基岩埋深较浅，地质条件良好，适宜采用定向钻方式穿越。且定向钻方式穿越东河，可以减少穿越过程中废水产生量，降低对地表水环境造成的影响。从安全性、可行性、经济性、施工工期及环境保护综合考虑，环评同意选取定向钻穿越东河。</w:t>
      </w:r>
    </w:p>
    <w:p>
      <w:pPr>
        <w:keepNext w:val="0"/>
        <w:keepLines w:val="0"/>
        <w:widowControl/>
        <w:suppressLineNumbers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lang w:val="en-US" w:eastAsia="zh-CN"/>
        </w:rPr>
        <w:t>表1.10-4东河定向钻穿越主要工程量</w:t>
      </w:r>
    </w:p>
    <w:tbl>
      <w:tblPr>
        <w:tblStyle w:val="24"/>
        <w:tblW w:w="9405" w:type="dxa"/>
        <w:tblInd w:w="91" w:type="dxa"/>
        <w:shd w:val="clear" w:color="auto" w:fill="auto"/>
        <w:tblLayout w:type="autofit"/>
        <w:tblCellMar>
          <w:top w:w="0" w:type="dxa"/>
          <w:left w:w="108" w:type="dxa"/>
          <w:bottom w:w="0" w:type="dxa"/>
          <w:right w:w="108" w:type="dxa"/>
        </w:tblCellMar>
      </w:tblPr>
      <w:tblGrid>
        <w:gridCol w:w="1818"/>
        <w:gridCol w:w="3576"/>
        <w:gridCol w:w="2991"/>
        <w:gridCol w:w="1020"/>
      </w:tblGrid>
      <w:tr>
        <w:tblPrEx>
          <w:shd w:val="clear" w:color="auto" w:fill="auto"/>
          <w:tblCellMar>
            <w:top w:w="0" w:type="dxa"/>
            <w:left w:w="108" w:type="dxa"/>
            <w:bottom w:w="0" w:type="dxa"/>
            <w:right w:w="108" w:type="dxa"/>
          </w:tblCellMar>
        </w:tblPrEx>
        <w:trPr>
          <w:trHeight w:val="272" w:hRule="atLeast"/>
          <w:tblHeader/>
        </w:trPr>
        <w:tc>
          <w:tcPr>
            <w:tcW w:w="20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2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工程量名称</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单位</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数量</w:t>
            </w:r>
          </w:p>
        </w:tc>
      </w:tr>
      <w:tr>
        <w:tblPrEx>
          <w:shd w:val="clear" w:color="auto" w:fill="auto"/>
          <w:tblCellMar>
            <w:top w:w="0" w:type="dxa"/>
            <w:left w:w="108" w:type="dxa"/>
            <w:bottom w:w="0" w:type="dxa"/>
            <w:right w:w="108" w:type="dxa"/>
          </w:tblCellMar>
        </w:tblPrEx>
        <w:trPr>
          <w:trHeight w:val="270" w:hRule="atLeast"/>
          <w:tblHeader/>
        </w:trPr>
        <w:tc>
          <w:tcPr>
            <w:tcW w:w="20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一</w:t>
            </w:r>
          </w:p>
        </w:tc>
        <w:tc>
          <w:tcPr>
            <w:tcW w:w="2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线路长度</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1300</w:t>
            </w:r>
          </w:p>
        </w:tc>
      </w:tr>
      <w:tr>
        <w:tblPrEx>
          <w:shd w:val="clear" w:color="auto" w:fill="auto"/>
          <w:tblCellMar>
            <w:top w:w="0" w:type="dxa"/>
            <w:left w:w="108" w:type="dxa"/>
            <w:bottom w:w="0" w:type="dxa"/>
            <w:right w:w="108" w:type="dxa"/>
          </w:tblCellMar>
        </w:tblPrEx>
        <w:trPr>
          <w:trHeight w:val="270" w:hRule="atLeast"/>
          <w:tblHeader/>
        </w:trPr>
        <w:tc>
          <w:tcPr>
            <w:tcW w:w="20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2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定向钻钻孔长度</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300</w:t>
            </w:r>
          </w:p>
        </w:tc>
      </w:tr>
      <w:tr>
        <w:tblPrEx>
          <w:shd w:val="clear" w:color="auto" w:fill="auto"/>
          <w:tblCellMar>
            <w:top w:w="0" w:type="dxa"/>
            <w:left w:w="108" w:type="dxa"/>
            <w:bottom w:w="0" w:type="dxa"/>
            <w:right w:w="108" w:type="dxa"/>
          </w:tblCellMar>
        </w:tblPrEx>
        <w:trPr>
          <w:trHeight w:val="270" w:hRule="atLeast"/>
          <w:tblHeader/>
        </w:trPr>
        <w:tc>
          <w:tcPr>
            <w:tcW w:w="20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w:t>
            </w:r>
          </w:p>
        </w:tc>
        <w:tc>
          <w:tcPr>
            <w:tcW w:w="2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管道安装</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810" w:hRule="atLeast"/>
          <w:tblHeader/>
        </w:trPr>
        <w:tc>
          <w:tcPr>
            <w:tcW w:w="20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2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Ф1016×21.0 L485M 直缝埋弧焊钢管材料及组焊检验</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1300</w:t>
            </w:r>
          </w:p>
        </w:tc>
      </w:tr>
      <w:tr>
        <w:tblPrEx>
          <w:shd w:val="clear" w:color="auto" w:fill="auto"/>
          <w:tblCellMar>
            <w:top w:w="0" w:type="dxa"/>
            <w:left w:w="108" w:type="dxa"/>
            <w:bottom w:w="0" w:type="dxa"/>
            <w:right w:w="108" w:type="dxa"/>
          </w:tblCellMar>
        </w:tblPrEx>
        <w:trPr>
          <w:trHeight w:val="810" w:hRule="atLeast"/>
          <w:tblHeader/>
        </w:trPr>
        <w:tc>
          <w:tcPr>
            <w:tcW w:w="20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2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其中：冷弯弯管(R=40D)：Ф1016×21.0 L485M 直缝埋弧焊钢管制作及安装</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个</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r>
      <w:tr>
        <w:tblPrEx>
          <w:shd w:val="clear" w:color="auto" w:fill="auto"/>
          <w:tblCellMar>
            <w:top w:w="0" w:type="dxa"/>
            <w:left w:w="108" w:type="dxa"/>
            <w:bottom w:w="0" w:type="dxa"/>
            <w:right w:w="108" w:type="dxa"/>
          </w:tblCellMar>
        </w:tblPrEx>
        <w:trPr>
          <w:trHeight w:val="540" w:hRule="atLeast"/>
          <w:tblHeader/>
        </w:trPr>
        <w:tc>
          <w:tcPr>
            <w:tcW w:w="20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2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热煨弯管(R=6D) Ф1016×26.2 L485M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个</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tblPrEx>
          <w:shd w:val="clear" w:color="auto" w:fill="auto"/>
          <w:tblCellMar>
            <w:top w:w="0" w:type="dxa"/>
            <w:left w:w="108" w:type="dxa"/>
            <w:bottom w:w="0" w:type="dxa"/>
            <w:right w:w="108" w:type="dxa"/>
          </w:tblCellMar>
        </w:tblPrEx>
        <w:trPr>
          <w:trHeight w:val="270" w:hRule="atLeast"/>
          <w:tblHeader/>
        </w:trPr>
        <w:tc>
          <w:tcPr>
            <w:tcW w:w="20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三</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焊接、检验</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540" w:hRule="atLeast"/>
          <w:tblHeader/>
        </w:trPr>
        <w:tc>
          <w:tcPr>
            <w:tcW w:w="20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2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焊接检验（100%X射线及100%超声波）焊口数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个</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130</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四</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清管、试压、测径、干燥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1300</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五</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征地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出入土端临时征地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6300</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回拖场地临时征地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26000</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永久用地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地貌恢复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32300</w:t>
            </w:r>
          </w:p>
        </w:tc>
      </w:tr>
      <w:tr>
        <w:tblPrEx>
          <w:shd w:val="clear" w:color="auto" w:fill="auto"/>
          <w:tblCellMar>
            <w:top w:w="0" w:type="dxa"/>
            <w:left w:w="108" w:type="dxa"/>
            <w:bottom w:w="0" w:type="dxa"/>
            <w:right w:w="108" w:type="dxa"/>
          </w:tblCellMar>
        </w:tblPrEx>
        <w:trPr>
          <w:trHeight w:val="162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六</w:t>
            </w:r>
          </w:p>
        </w:tc>
        <w:tc>
          <w:tcPr>
            <w:tcW w:w="2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Ф1016×21.0 L485M 直缝埋弧焊钢管材料及组焊检验三层PE加强级防腐+改性环氧玻璃钢补口、补口补伤等</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1300</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七</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出入土端场地处理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出土端回拖基坑开挖及恢复量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1200</w:t>
            </w:r>
          </w:p>
        </w:tc>
      </w:tr>
      <w:tr>
        <w:tblPrEx>
          <w:shd w:val="clear" w:color="auto" w:fill="auto"/>
          <w:tblCellMar>
            <w:top w:w="0" w:type="dxa"/>
            <w:left w:w="108" w:type="dxa"/>
            <w:bottom w:w="0" w:type="dxa"/>
            <w:right w:w="108" w:type="dxa"/>
          </w:tblCellMar>
        </w:tblPrEx>
        <w:trPr>
          <w:trHeight w:val="298"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回拖场地开挖及恢复量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回拖场地平整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30000</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浆砌石堡坎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出入土场地硬化处理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1040</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出入土端场地平整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8800</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八</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两侧开挖敷设管道土方及回填分别量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600</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九</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警示标志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警示牌</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警示带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标志桩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十</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施工便道、便桥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新修施工便道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km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十一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其他</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河道赔偿</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处</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防洪评价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处</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tblPrEx>
          <w:shd w:val="clear" w:color="auto" w:fill="auto"/>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航道专项评价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处</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tblPrEx>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废弃泥浆处理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650</w:t>
            </w:r>
          </w:p>
        </w:tc>
      </w:tr>
      <w:tr>
        <w:tblPrEx>
          <w:tblCellMar>
            <w:top w:w="0" w:type="dxa"/>
            <w:left w:w="108" w:type="dxa"/>
            <w:bottom w:w="0" w:type="dxa"/>
            <w:right w:w="108" w:type="dxa"/>
          </w:tblCellMar>
        </w:tblPrEx>
        <w:trPr>
          <w:trHeight w:val="2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坟迁建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r>
      <w:tr>
        <w:tblPrEx>
          <w:tblCellMar>
            <w:top w:w="0" w:type="dxa"/>
            <w:left w:w="108" w:type="dxa"/>
            <w:bottom w:w="0" w:type="dxa"/>
            <w:right w:w="108" w:type="dxa"/>
          </w:tblCellMar>
        </w:tblPrEx>
        <w:trPr>
          <w:trHeight w:val="272"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房屋拆迁</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1000</w:t>
            </w:r>
          </w:p>
        </w:tc>
      </w:tr>
    </w:tbl>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2、河流、沟渠小型穿越</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段河流、沟渠小型穿越共计15处，总长度450m，大开挖穿越施工难度较小，且不受河床和两岸卵石层深度限制，施工技术成熟，投资较省，施工工期较短等优点，《可研》均推荐采用大开挖进行穿越。穿越完成后应恢复河岸原貌，同时应修筑护岸工程，宜采用浆砌石护岸。护岸的高度应视岸坡条件确定，一般应高出设计频率的洪水位，同时应满足河道管理部门的管理要求；护岸的宽度应大于被松动过的地表宽度，护岸不能凸出原河岸，并与周围自然地貌衔接。</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环评要求，项目在施工穿越过程中，只要按照本报告要求做好地表水防护工作和应急处理措施，采用大开挖穿越的方式穿越河流、沟渠等河段可行，开挖穿越对地表水的影响在可接受范围内。</w:t>
      </w:r>
    </w:p>
    <w:p>
      <w:pPr>
        <w:keepNext w:val="0"/>
        <w:keepLines w:val="0"/>
        <w:widowControl/>
        <w:suppressLineNumbers w:val="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eastAsia="宋体" w:cs="Times New Roman"/>
          <w:b/>
          <w:bCs/>
          <w:color w:val="auto"/>
          <w:sz w:val="28"/>
          <w:szCs w:val="28"/>
          <w:lang w:val="en-US" w:eastAsia="zh-CN"/>
        </w:rPr>
        <w:t>1.11</w:t>
      </w:r>
      <w:r>
        <w:rPr>
          <w:rFonts w:hint="default" w:ascii="Times New Roman" w:hAnsi="Times New Roman" w:eastAsia="宋体" w:cs="Times New Roman"/>
          <w:b/>
          <w:bCs/>
          <w:color w:val="auto"/>
          <w:kern w:val="0"/>
          <w:sz w:val="28"/>
          <w:szCs w:val="28"/>
          <w:lang w:val="en-US" w:eastAsia="zh-CN" w:bidi="ar"/>
        </w:rPr>
        <w:t>阀室</w:t>
      </w:r>
    </w:p>
    <w:p>
      <w:pPr>
        <w:keepNext w:val="0"/>
        <w:keepLines w:val="0"/>
        <w:widowControl/>
        <w:suppressLineNumbers w:val="0"/>
        <w:jc w:val="left"/>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24"/>
          <w:szCs w:val="24"/>
          <w:lang w:val="en-US" w:eastAsia="zh-CN" w:bidi="ar"/>
        </w:rPr>
        <w:t xml:space="preserve">1.11.1 阀室设置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为了发生事故时减少泄漏量，便于进行抢修，在管道沿线根据地区等级划分情况和河流大中型穿跨越及站场分布等情况设置线路截断阀室。一般截断阀室位置选择在交通方便、地形开阔、地势较高的地方。截断阀室的间距应符合下列规定：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1）在以一级地区为主的管段不宜大于 32km；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2）在以二级地区为主的管段不宜大于 24km；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3）在以三级地区为主的管段不宜大于 16km；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4）在以四级地区为主的管段不宜大于 8km。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上述规定的线路截断阀室间距，如因地物、土地征用、工程地质或水文地质造成选址受限的可作调增，一、二、三、四级地区调增分别不应超过 4km、3km、2km、1km。除了规范规定的阀室间距要求外，阀室的类型选择遵从如下原则：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1）交通不便，人员难以到达的地段，设置监控阀室。 </w:t>
      </w:r>
    </w:p>
    <w:p>
      <w:pP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2）四级地区，均设置为监控阀室</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本工程位于二级地区，设元坝首站（扩建）、陵江清管站（新建），线路长度 </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，线路中间不设置阀室。</w:t>
      </w:r>
    </w:p>
    <w:p>
      <w:pPr>
        <w:keepNext w:val="0"/>
        <w:keepLines w:val="0"/>
        <w:widowControl/>
        <w:suppressLineNumbers w:val="0"/>
        <w:jc w:val="left"/>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1.11.2</w:t>
      </w:r>
      <w:r>
        <w:rPr>
          <w:rFonts w:hint="default" w:ascii="Times New Roman" w:hAnsi="Times New Roman" w:eastAsia="宋体" w:cs="Times New Roman"/>
          <w:b/>
          <w:bCs/>
          <w:color w:val="auto"/>
          <w:kern w:val="0"/>
          <w:sz w:val="24"/>
          <w:szCs w:val="24"/>
          <w:lang w:val="en-US" w:eastAsia="zh-CN" w:bidi="ar"/>
        </w:rPr>
        <w:t xml:space="preserve">管道标志桩（测试桩）、警示带、警示牌及特殊安全保护设施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管道敷设完成后，为方便管道的运营管理，应在管道沿线易受人为干扰处设置警示牌，并根据目前实际情况，设置相应的标志桩，设置按照《油气管道线路标识设置技术规范》SY/T6064-2017执行。根据原管道设置情况以及实际运营要求，管道沿线应设置以下标志：</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里程桩：每公里管线设置1个，一般与电位测试桩合用。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转角桩：管道转弯处要设置转角桩，宜设置在转折管道中心线上方。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穿跨越桩：当管道穿越河流沟渠、高速、高等级公路时，在两侧设置穿跨越桩。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交叉桩：凡是与地下管道、电（光）缆交叉的位置，设置交叉桩。交叉桩上注明线路里程、交叉物名称、与交叉物的关系等。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结构桩：当管道外防腐层或管壁发生长距离变化时，在变化位置处设置结构桩，桩上要标明线路里程及变化前后的结构属性等。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加密桩：在管道正上方每100m 处设置一个加密桩。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警示牌：管道穿越、学校、人口密集区、地（震）质灾害频发区、矿山采空区、爆破采石区域、工业建设地段等危险区段时需设置警示牌。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警示带：警示带随管体回填埋入地下，位于管顶上方500mm。 </w:t>
      </w:r>
    </w:p>
    <w:p>
      <w:pPr>
        <w:pStyle w:val="2"/>
        <w:jc w:val="both"/>
        <w:rPr>
          <w:rFonts w:hint="default" w:ascii="Times New Roman" w:hAnsi="Times New Roman" w:eastAsia="宋体" w:cs="Times New Roman"/>
          <w:color w:val="auto"/>
          <w:lang w:val="en-US" w:eastAsia="zh-CN"/>
        </w:rPr>
      </w:pPr>
    </w:p>
    <w:p>
      <w:pPr>
        <w:bidi w:val="0"/>
        <w:rPr>
          <w:rFonts w:hint="default" w:ascii="Times New Roman" w:hAnsi="Times New Roman" w:eastAsia="宋体" w:cs="Times New Roman"/>
          <w:color w:val="auto"/>
          <w:lang w:val="en-US" w:eastAsia="zh-CN"/>
        </w:rPr>
      </w:pPr>
    </w:p>
    <w:p>
      <w:pPr>
        <w:rPr>
          <w:rFonts w:hint="default" w:ascii="Times New Roman" w:hAnsi="Times New Roman" w:eastAsia="宋体" w:cs="Times New Roman"/>
          <w:color w:val="auto"/>
          <w:lang w:val="en-US" w:eastAsia="zh-CN"/>
        </w:rPr>
        <w:sectPr>
          <w:footerReference r:id="rId5" w:type="default"/>
          <w:pgSz w:w="11906" w:h="16838"/>
          <w:pgMar w:top="1814" w:right="1474" w:bottom="1474" w:left="1474" w:header="851" w:footer="992" w:gutter="0"/>
          <w:pgBorders w:offsetFrom="page">
            <w:top w:val="none" w:sz="0" w:space="0"/>
            <w:left w:val="none" w:sz="0" w:space="0"/>
            <w:bottom w:val="none" w:sz="0" w:space="0"/>
            <w:right w:val="none" w:sz="0" w:space="0"/>
          </w:pgBorders>
          <w:pgNumType w:fmt="decimal" w:start="1"/>
          <w:cols w:space="0" w:num="1"/>
          <w:rtlGutter w:val="0"/>
          <w:docGrid w:type="lines" w:linePitch="330" w:charSpace="0"/>
        </w:sectPr>
      </w:pPr>
    </w:p>
    <w:p>
      <w:pPr>
        <w:pStyle w:val="4"/>
        <w:keepNext/>
        <w:keepLines/>
        <w:pageBreakBefore w:val="0"/>
        <w:widowControl w:val="0"/>
        <w:numPr>
          <w:ilvl w:val="0"/>
          <w:numId w:val="0"/>
        </w:numPr>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rPr>
      </w:pPr>
      <w:bookmarkStart w:id="21" w:name="_Toc45724454"/>
      <w:bookmarkStart w:id="22" w:name="_Toc26430"/>
      <w:r>
        <w:rPr>
          <w:rFonts w:hint="default" w:ascii="Times New Roman" w:hAnsi="Times New Roman" w:eastAsia="宋体" w:cs="Times New Roman"/>
          <w:color w:val="auto"/>
          <w:lang w:eastAsia="zh-CN"/>
        </w:rPr>
        <w:t>第二章</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 xml:space="preserve"> </w:t>
      </w:r>
      <w:r>
        <w:rPr>
          <w:rFonts w:hint="default" w:ascii="Times New Roman" w:hAnsi="Times New Roman" w:eastAsia="宋体" w:cs="Times New Roman"/>
          <w:color w:val="auto"/>
          <w:lang w:eastAsia="zh-CN"/>
        </w:rPr>
        <w:t>建设</w:t>
      </w:r>
      <w:r>
        <w:rPr>
          <w:rFonts w:hint="default" w:ascii="Times New Roman" w:hAnsi="Times New Roman" w:eastAsia="宋体" w:cs="Times New Roman"/>
          <w:color w:val="auto"/>
        </w:rPr>
        <w:t>项目概况</w:t>
      </w:r>
      <w:bookmarkEnd w:id="21"/>
      <w:bookmarkEnd w:id="22"/>
    </w:p>
    <w:p>
      <w:pPr>
        <w:pStyle w:val="5"/>
        <w:bidi w:val="0"/>
        <w:rPr>
          <w:rFonts w:hint="default" w:ascii="Times New Roman" w:hAnsi="Times New Roman" w:eastAsia="宋体" w:cs="Times New Roman"/>
          <w:color w:val="auto"/>
        </w:rPr>
      </w:pPr>
      <w:bookmarkStart w:id="23" w:name="_Toc523229905"/>
      <w:bookmarkStart w:id="24" w:name="_Toc45724455"/>
      <w:bookmarkStart w:id="25" w:name="_Toc16741"/>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.1</w:t>
      </w:r>
      <w:bookmarkEnd w:id="23"/>
      <w:bookmarkEnd w:id="24"/>
      <w:r>
        <w:rPr>
          <w:rFonts w:hint="default" w:ascii="Times New Roman" w:hAnsi="Times New Roman" w:eastAsia="宋体" w:cs="Times New Roman"/>
          <w:color w:val="auto"/>
        </w:rPr>
        <w:t>建设项目工程概况</w:t>
      </w:r>
      <w:bookmarkEnd w:id="25"/>
    </w:p>
    <w:p>
      <w:pPr>
        <w:pStyle w:val="29"/>
        <w:ind w:firstLine="48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2.1.1项目基本情况</w:t>
      </w:r>
    </w:p>
    <w:p>
      <w:pPr>
        <w:pStyle w:val="29"/>
        <w:ind w:firstLine="480"/>
        <w:rPr>
          <w:rFonts w:hint="default" w:ascii="Times New Roman" w:hAnsi="Times New Roman" w:eastAsia="宋体" w:cs="Times New Roman"/>
          <w:color w:val="auto"/>
          <w:lang w:eastAsia="zh-CN"/>
        </w:rPr>
      </w:pPr>
      <w:r>
        <w:rPr>
          <w:rFonts w:hint="default" w:ascii="Times New Roman" w:hAnsi="Times New Roman" w:eastAsia="宋体" w:cs="Times New Roman"/>
          <w:b/>
          <w:bCs/>
          <w:color w:val="auto"/>
        </w:rPr>
        <w:t>项目名称</w:t>
      </w:r>
      <w:r>
        <w:rPr>
          <w:rFonts w:hint="default" w:ascii="Times New Roman" w:hAnsi="Times New Roman" w:eastAsia="宋体" w:cs="Times New Roman"/>
          <w:color w:val="auto"/>
        </w:rPr>
        <w:t>：</w:t>
      </w:r>
      <w:r>
        <w:rPr>
          <w:rFonts w:hint="default" w:ascii="Times New Roman" w:hAnsi="Times New Roman" w:eastAsia="宋体" w:cs="Times New Roman"/>
          <w:color w:val="auto"/>
          <w:lang w:eastAsia="zh-CN"/>
        </w:rPr>
        <w:t>中贵线与元坝-普光管道联通工程</w:t>
      </w:r>
    </w:p>
    <w:p>
      <w:pPr>
        <w:spacing w:line="360" w:lineRule="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rPr>
        <w:t>建设单位：</w:t>
      </w:r>
      <w:r>
        <w:rPr>
          <w:rFonts w:hint="default" w:ascii="Times New Roman" w:hAnsi="Times New Roman" w:eastAsia="宋体" w:cs="Times New Roman"/>
          <w:color w:val="auto"/>
          <w:sz w:val="24"/>
          <w:szCs w:val="24"/>
          <w:lang w:val="en-US" w:eastAsia="zh-CN"/>
        </w:rPr>
        <w:t>国家管网西南管道有限公司兰成渝输油气分公司</w:t>
      </w:r>
    </w:p>
    <w:p>
      <w:pPr>
        <w:spacing w:line="360" w:lineRule="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rPr>
        <w:t>建设地点：</w:t>
      </w:r>
      <w:r>
        <w:rPr>
          <w:rFonts w:hint="default" w:ascii="Times New Roman" w:hAnsi="Times New Roman" w:eastAsia="宋体" w:cs="Times New Roman"/>
          <w:color w:val="auto"/>
          <w:sz w:val="24"/>
          <w:szCs w:val="24"/>
          <w:lang w:val="en-US" w:eastAsia="zh-CN"/>
        </w:rPr>
        <w:t>广元市苍溪县元坝镇元坝净化厂—陵江镇六包村</w:t>
      </w:r>
    </w:p>
    <w:p>
      <w:pPr>
        <w:pStyle w:val="29"/>
        <w:ind w:firstLine="480"/>
        <w:rPr>
          <w:rFonts w:hint="default" w:ascii="Times New Roman" w:hAnsi="Times New Roman" w:eastAsia="宋体" w:cs="Times New Roman"/>
          <w:color w:val="auto"/>
          <w:highlight w:val="yellow"/>
          <w:lang w:eastAsia="zh-CN"/>
        </w:rPr>
      </w:pPr>
      <w:r>
        <w:rPr>
          <w:rFonts w:hint="default" w:ascii="Times New Roman" w:hAnsi="Times New Roman" w:eastAsia="宋体" w:cs="Times New Roman"/>
          <w:b/>
          <w:bCs/>
          <w:color w:val="auto"/>
        </w:rPr>
        <w:t>建设性质：</w:t>
      </w:r>
      <w:r>
        <w:rPr>
          <w:rFonts w:hint="default" w:ascii="Times New Roman" w:hAnsi="Times New Roman" w:eastAsia="宋体" w:cs="Times New Roman"/>
          <w:color w:val="auto"/>
          <w:highlight w:val="none"/>
          <w:lang w:eastAsia="zh-CN"/>
        </w:rPr>
        <w:t>新建</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lang w:eastAsia="zh-CN"/>
        </w:rPr>
        <w:t>建筑规模：</w:t>
      </w:r>
      <w:r>
        <w:rPr>
          <w:rFonts w:hint="default" w:ascii="Times New Roman" w:hAnsi="Times New Roman" w:eastAsia="宋体" w:cs="Times New Roman"/>
          <w:color w:val="auto"/>
          <w:kern w:val="0"/>
          <w:sz w:val="24"/>
          <w:szCs w:val="24"/>
          <w:lang w:val="en-US" w:eastAsia="zh-CN" w:bidi="ar"/>
        </w:rPr>
        <w:t>线路永久占地面积 80220m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，临时占地面积 45.23×10</w:t>
      </w:r>
      <w:r>
        <w:rPr>
          <w:rFonts w:hint="default" w:ascii="Times New Roman" w:hAnsi="Times New Roman" w:eastAsia="宋体" w:cs="Times New Roman"/>
          <w:color w:val="auto"/>
          <w:kern w:val="0"/>
          <w:sz w:val="24"/>
          <w:szCs w:val="24"/>
          <w:vertAlign w:val="superscript"/>
          <w:lang w:val="en-US" w:eastAsia="zh-CN" w:bidi="ar"/>
        </w:rPr>
        <w:t>4</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vertAlign w:val="baseline"/>
          <w:lang w:val="en-US" w:eastAsia="zh-CN" w:bidi="ar"/>
        </w:rPr>
        <w:t>，</w:t>
      </w:r>
      <w:r>
        <w:rPr>
          <w:rFonts w:hint="default" w:ascii="Times New Roman" w:hAnsi="Times New Roman" w:eastAsia="宋体" w:cs="Times New Roman"/>
          <w:color w:val="auto"/>
          <w:kern w:val="0"/>
          <w:sz w:val="24"/>
          <w:szCs w:val="24"/>
          <w:lang w:val="en-US" w:eastAsia="zh-CN" w:bidi="ar"/>
        </w:rPr>
        <w:t>新建陵江清管站需新征用地10000m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vertAlign w:val="baseline"/>
          <w:lang w:val="en-US" w:eastAsia="zh-CN" w:bidi="ar"/>
        </w:rPr>
        <w:t xml:space="preserve">，新建元坝作业区，新征地面积 6900 ㎡。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lang w:val="en-US" w:eastAsia="zh-CN"/>
        </w:rPr>
        <w:t>建设内容</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kern w:val="0"/>
          <w:sz w:val="24"/>
          <w:szCs w:val="24"/>
          <w:lang w:val="en-US" w:eastAsia="zh-CN" w:bidi="ar"/>
        </w:rPr>
        <w:t xml:space="preserve">中贵线与元坝-普光管道联通工程项目管道全线位于苍溪县境内，管道起于元坝净化厂内的元坝首站，线路出站后向南敷设，途经冉家沟、李家湾，圆包梁，在阎家湾穿越东河后，经全民村、朱家湾、孙家沟、曹家院、清盐村，张家湾，最后止于陵江清管站。工程线路长度约 </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 xml:space="preserve">。 </w:t>
      </w:r>
    </w:p>
    <w:p>
      <w:pPr>
        <w:keepNext w:val="0"/>
        <w:keepLines w:val="0"/>
        <w:widowControl/>
        <w:suppressLineNumbers w:val="0"/>
        <w:jc w:val="left"/>
        <w:rPr>
          <w:rFonts w:hint="default" w:ascii="Times New Roman" w:hAnsi="Times New Roman" w:eastAsia="宋体" w:cs="Times New Roman"/>
          <w:color w:val="auto"/>
          <w:kern w:val="0"/>
        </w:rPr>
      </w:pPr>
      <w:r>
        <w:rPr>
          <w:rFonts w:hint="default" w:ascii="Times New Roman" w:hAnsi="Times New Roman" w:eastAsia="宋体" w:cs="Times New Roman"/>
          <w:color w:val="auto"/>
          <w:kern w:val="0"/>
          <w:sz w:val="24"/>
          <w:szCs w:val="24"/>
          <w:lang w:val="en-US" w:eastAsia="zh-CN" w:bidi="ar"/>
        </w:rPr>
        <w:t xml:space="preserve">本工程管道设计压力 10.0MPa，管径 D1016mm，材质 L485M。全线共设 1 座站场（1 座新 建，1 座扩建）。河流大型穿越 1 次（东河），无高等级公路穿越，乡村水泥路穿越 26 次，碎石路穿越 18 次；设计输量 </w:t>
      </w:r>
      <w:r>
        <w:rPr>
          <w:rFonts w:hint="default" w:ascii="Times New Roman" w:hAnsi="Times New Roman" w:cs="Times New Roman"/>
          <w:color w:val="auto"/>
          <w:kern w:val="0"/>
          <w:sz w:val="24"/>
          <w:szCs w:val="24"/>
          <w:lang w:val="en-US" w:eastAsia="zh-CN" w:bidi="ar"/>
        </w:rPr>
        <w:t>30×10</w:t>
      </w:r>
      <w:r>
        <w:rPr>
          <w:rFonts w:hint="default" w:ascii="Times New Roman" w:hAnsi="Times New Roman" w:eastAsia="宋体" w:cs="Times New Roman"/>
          <w:color w:val="auto"/>
          <w:kern w:val="0"/>
          <w:sz w:val="24"/>
          <w:szCs w:val="24"/>
          <w:vertAlign w:val="superscript"/>
          <w:lang w:val="en-US" w:eastAsia="zh-CN" w:bidi="ar"/>
        </w:rPr>
        <w:t>8</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/a。</w:t>
      </w:r>
    </w:p>
    <w:p>
      <w:pPr>
        <w:keepNext w:val="0"/>
        <w:keepLines w:val="0"/>
        <w:widowControl/>
        <w:suppressLineNumbers w:val="0"/>
        <w:jc w:val="left"/>
        <w:rPr>
          <w:rFonts w:hint="default" w:ascii="Times New Roman" w:hAnsi="Times New Roman" w:eastAsia="宋体" w:cs="Times New Roman"/>
          <w:color w:val="auto"/>
          <w:szCs w:val="24"/>
          <w:highlight w:val="none"/>
        </w:rPr>
      </w:pPr>
      <w:r>
        <w:rPr>
          <w:rFonts w:hint="default" w:ascii="Times New Roman" w:hAnsi="Times New Roman" w:eastAsia="宋体" w:cs="Times New Roman"/>
          <w:b/>
          <w:bCs/>
          <w:color w:val="auto"/>
          <w:lang w:eastAsia="zh-CN"/>
        </w:rPr>
        <w:t>项目</w:t>
      </w:r>
      <w:r>
        <w:rPr>
          <w:rFonts w:hint="default" w:ascii="Times New Roman" w:hAnsi="Times New Roman" w:eastAsia="宋体" w:cs="Times New Roman"/>
          <w:b/>
          <w:bCs/>
          <w:color w:val="auto"/>
        </w:rPr>
        <w:t>总投资：</w:t>
      </w:r>
      <w:r>
        <w:rPr>
          <w:rFonts w:hint="default" w:ascii="Times New Roman" w:hAnsi="Times New Roman" w:eastAsia="宋体" w:cs="Times New Roman"/>
          <w:color w:val="auto"/>
          <w:kern w:val="0"/>
          <w:sz w:val="24"/>
          <w:szCs w:val="24"/>
          <w:lang w:val="en-US" w:eastAsia="zh-CN" w:bidi="ar"/>
        </w:rPr>
        <w:t xml:space="preserve">37714 </w:t>
      </w:r>
      <w:r>
        <w:rPr>
          <w:rFonts w:hint="default" w:ascii="Times New Roman" w:hAnsi="Times New Roman" w:eastAsia="宋体" w:cs="Times New Roman"/>
          <w:color w:val="auto"/>
          <w:szCs w:val="24"/>
          <w:highlight w:val="none"/>
        </w:rPr>
        <w:t>万元</w:t>
      </w:r>
    </w:p>
    <w:p>
      <w:pPr>
        <w:keepNext w:val="0"/>
        <w:keepLines w:val="0"/>
        <w:widowControl/>
        <w:suppressLineNumbers w:val="0"/>
        <w:jc w:val="left"/>
        <w:rPr>
          <w:rFonts w:hint="default" w:ascii="Times New Roman" w:hAnsi="Times New Roman" w:eastAsia="宋体" w:cs="Times New Roman"/>
          <w:color w:val="auto"/>
          <w:lang w:eastAsia="zh-CN"/>
        </w:rPr>
      </w:pPr>
      <w:r>
        <w:rPr>
          <w:rFonts w:hint="default" w:ascii="Times New Roman" w:hAnsi="Times New Roman" w:eastAsia="宋体" w:cs="Times New Roman"/>
          <w:b/>
          <w:bCs/>
          <w:color w:val="auto"/>
          <w:szCs w:val="24"/>
          <w:highlight w:val="none"/>
          <w:lang w:eastAsia="zh-CN"/>
        </w:rPr>
        <w:t>工期安排：</w:t>
      </w:r>
      <w:r>
        <w:rPr>
          <w:rFonts w:hint="default" w:ascii="Times New Roman" w:hAnsi="Times New Roman" w:eastAsia="宋体" w:cs="Times New Roman"/>
          <w:color w:val="auto"/>
          <w:kern w:val="0"/>
          <w:sz w:val="24"/>
          <w:szCs w:val="24"/>
          <w:lang w:val="en-US" w:eastAsia="zh-CN" w:bidi="ar"/>
        </w:rPr>
        <w:t>工程计划于202</w:t>
      </w:r>
      <w:r>
        <w:rPr>
          <w:rFonts w:hint="eastAsia" w:ascii="Times New Roman" w:hAnsi="Times New Roman"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 xml:space="preserve"> 年 </w:t>
      </w:r>
      <w:r>
        <w:rPr>
          <w:rFonts w:hint="eastAsia" w:ascii="Times New Roman" w:hAnsi="Times New Roman"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月 1 日开工建设，202</w:t>
      </w:r>
      <w:r>
        <w:rPr>
          <w:rFonts w:hint="eastAsia" w:ascii="Times New Roman" w:hAnsi="Times New Roman"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 xml:space="preserve"> 年 1 月 30 日竣工完成，总工期 12 个月，目前尚未动工建设。</w:t>
      </w:r>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2.1.2项目组成</w:t>
      </w:r>
    </w:p>
    <w:p>
      <w:pPr>
        <w:spacing w:line="360" w:lineRule="auto"/>
        <w:rPr>
          <w:rFonts w:hint="default" w:ascii="Times New Roman" w:hAnsi="Times New Roman" w:eastAsia="宋体" w:cs="Times New Roman"/>
          <w:color w:val="auto"/>
          <w:highlight w:val="yellow"/>
        </w:rPr>
      </w:pPr>
      <w:r>
        <w:rPr>
          <w:rFonts w:hint="default" w:ascii="Times New Roman" w:hAnsi="Times New Roman" w:eastAsia="宋体" w:cs="Times New Roman"/>
          <w:color w:val="auto"/>
          <w:kern w:val="0"/>
          <w:sz w:val="24"/>
          <w:szCs w:val="24"/>
          <w:lang w:val="en-US" w:eastAsia="zh-CN" w:bidi="ar"/>
        </w:rPr>
        <w:t xml:space="preserve">本工程为输气工程，项目共建设 </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 xml:space="preserve"> 天然气管线，扩建站场 1 座，新建站场 1 座。项目组成及主要环境问题见下表 2.2-1，项目主要工程量见表 2.2-2，主要经济技术指标见表 2.2-3</w:t>
      </w:r>
      <w:r>
        <w:rPr>
          <w:rFonts w:hint="default" w:ascii="Times New Roman" w:hAnsi="Times New Roman" w:eastAsia="宋体" w:cs="Times New Roman"/>
          <w:color w:val="auto"/>
          <w:highlight w:val="none"/>
        </w:rPr>
        <w:t>。</w:t>
      </w:r>
    </w:p>
    <w:p>
      <w:pPr>
        <w:spacing w:line="360" w:lineRule="auto"/>
        <w:rPr>
          <w:rFonts w:hint="default" w:ascii="Times New Roman" w:hAnsi="Times New Roman" w:eastAsia="宋体" w:cs="Times New Roman"/>
          <w:color w:val="auto"/>
        </w:rPr>
        <w:sectPr>
          <w:pgSz w:w="11906" w:h="16838"/>
          <w:pgMar w:top="1814" w:right="1474" w:bottom="1474" w:left="1474" w:header="851" w:footer="992" w:gutter="0"/>
          <w:pgBorders w:offsetFrom="page">
            <w:top w:val="none" w:sz="0" w:space="0"/>
            <w:left w:val="none" w:sz="0" w:space="0"/>
            <w:bottom w:val="none" w:sz="0" w:space="0"/>
            <w:right w:val="none" w:sz="0" w:space="0"/>
          </w:pgBorders>
          <w:pgNumType w:fmt="decimal"/>
          <w:cols w:space="0" w:num="1"/>
          <w:rtlGutter w:val="0"/>
          <w:docGrid w:type="lines" w:linePitch="330" w:charSpace="0"/>
        </w:sectPr>
      </w:pPr>
    </w:p>
    <w:p>
      <w:pPr>
        <w:pStyle w:val="23"/>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表2.1-1  本建设工程组成及主要环境问题一览表</w:t>
      </w:r>
    </w:p>
    <w:tbl>
      <w:tblPr>
        <w:tblStyle w:val="24"/>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737"/>
        <w:gridCol w:w="1522"/>
        <w:gridCol w:w="567"/>
        <w:gridCol w:w="7216"/>
        <w:gridCol w:w="1936"/>
        <w:gridCol w:w="17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820" w:type="pct"/>
            <w:gridSpan w:val="2"/>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工程名称</w:t>
            </w:r>
          </w:p>
        </w:tc>
        <w:tc>
          <w:tcPr>
            <w:tcW w:w="2828" w:type="pct"/>
            <w:gridSpan w:val="2"/>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工程内容</w:t>
            </w:r>
          </w:p>
        </w:tc>
        <w:tc>
          <w:tcPr>
            <w:tcW w:w="1350"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主要环境问题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PrEx>
        <w:trPr>
          <w:trHeight w:val="270" w:hRule="atLeast"/>
        </w:trPr>
        <w:tc>
          <w:tcPr>
            <w:tcW w:w="820" w:type="pct"/>
            <w:gridSpan w:val="2"/>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2828" w:type="pct"/>
            <w:gridSpan w:val="2"/>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70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施工期</w:t>
            </w:r>
          </w:p>
        </w:tc>
        <w:tc>
          <w:tcPr>
            <w:tcW w:w="646"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营运期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207" w:hRule="atLeast"/>
        </w:trPr>
        <w:tc>
          <w:tcPr>
            <w:tcW w:w="267"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主体工程</w:t>
            </w:r>
          </w:p>
        </w:tc>
        <w:tc>
          <w:tcPr>
            <w:tcW w:w="55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输气管线</w:t>
            </w: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中贵线与元坝-普光管道联通工程项目管道全线位于苍溪县境内，管道起于元坝净化厂内的元坝首站，线路出站后向南敷设，途经冉家沟、李家湾，圆包梁，在阎家湾穿越东河后，经全民村、朱家湾、孙家沟、曹家院、清盐村，张家湾，最后止于陵江清管站。工程线路长度约 </w:t>
            </w:r>
            <w:r>
              <w:rPr>
                <w:rFonts w:hint="eastAsia" w:ascii="Times New Roman" w:hAnsi="Times New Roman" w:cs="Times New Roman"/>
                <w:i w:val="0"/>
                <w:iCs w:val="0"/>
                <w:color w:val="auto"/>
                <w:kern w:val="0"/>
                <w:sz w:val="21"/>
                <w:szCs w:val="21"/>
                <w:u w:val="none"/>
                <w:lang w:val="en-US" w:eastAsia="zh-CN" w:bidi="ar"/>
              </w:rPr>
              <w:t>14.5km</w:t>
            </w:r>
            <w:r>
              <w:rPr>
                <w:rFonts w:hint="default" w:ascii="Times New Roman" w:hAnsi="Times New Roman" w:eastAsia="宋体" w:cs="Times New Roman"/>
                <w:i w:val="0"/>
                <w:iCs w:val="0"/>
                <w:color w:val="auto"/>
                <w:kern w:val="0"/>
                <w:sz w:val="21"/>
                <w:szCs w:val="21"/>
                <w:u w:val="none"/>
                <w:lang w:val="en-US" w:eastAsia="zh-CN" w:bidi="ar"/>
              </w:rPr>
              <w:t>。</w:t>
            </w:r>
          </w:p>
        </w:tc>
        <w:tc>
          <w:tcPr>
            <w:tcW w:w="70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临时改变土地利用性质，造成农业损失、生态破坏，产生水土流失，产生施工噪声、扬尘、渣土等</w:t>
            </w:r>
          </w:p>
        </w:tc>
        <w:tc>
          <w:tcPr>
            <w:tcW w:w="646"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植被将得到一定的恢复，农田的生产力将得到恢复，水土流失将逐步减少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179" w:hRule="atLeast"/>
        </w:trPr>
        <w:tc>
          <w:tcPr>
            <w:tcW w:w="267"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场站工程</w:t>
            </w: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元坝首站（扩建）：设计压力 10MPa。元坝首站已设置站控系统（SCS），本工程在原系统上进行扩容，扩容后的站控系统对站场新增工艺变量及设备运行状态的数据采集、监视控制及联锁保护。</w:t>
            </w:r>
          </w:p>
        </w:tc>
        <w:tc>
          <w:tcPr>
            <w:tcW w:w="703"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施工废水、扬尘、噪声、渣土、生活垃圾、生活污水、水土流失、施工弃土、建筑废渣等</w:t>
            </w:r>
          </w:p>
        </w:tc>
        <w:tc>
          <w:tcPr>
            <w:tcW w:w="646"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站场在正常运行过程中会产生气田水，陵江清管站会产生生活垃圾、生活污水。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PrEx>
        <w:trPr>
          <w:trHeight w:val="1217" w:hRule="atLeast"/>
        </w:trPr>
        <w:tc>
          <w:tcPr>
            <w:tcW w:w="267"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陵江清管站（新建）：设计压力 10MPa。陵江清管站设置站控系统（SCS－Station Control System）对站场的工艺变量及设备运行状态的数据采集、监视控制及联锁保护。）</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89" w:hRule="atLeast"/>
        </w:trPr>
        <w:tc>
          <w:tcPr>
            <w:tcW w:w="267"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控制室：陵江清管站新建机柜间面积约为 40m</w:t>
            </w:r>
            <w:r>
              <w:rPr>
                <w:rFonts w:hint="default" w:ascii="Times New Roman" w:hAnsi="Times New Roman" w:eastAsia="宋体" w:cs="Times New Roman"/>
                <w:i w:val="0"/>
                <w:iCs w:val="0"/>
                <w:color w:val="auto"/>
                <w:kern w:val="0"/>
                <w:sz w:val="21"/>
                <w:szCs w:val="21"/>
                <w:u w:val="none"/>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。机柜间内用于放置 SCS 机柜、计量机柜、通信机柜、阴保机柜、云台式可燃气体检测系统机柜等</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890" w:hRule="atLeast"/>
        </w:trPr>
        <w:tc>
          <w:tcPr>
            <w:tcW w:w="267"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lang w:eastAsia="zh-CN"/>
              </w:rPr>
            </w:pPr>
            <w:r>
              <w:rPr>
                <w:rFonts w:hint="default" w:ascii="Times New Roman" w:hAnsi="Times New Roman" w:eastAsia="宋体" w:cs="Times New Roman"/>
                <w:i w:val="0"/>
                <w:iCs w:val="0"/>
                <w:color w:val="auto"/>
                <w:sz w:val="21"/>
                <w:szCs w:val="21"/>
                <w:u w:val="none"/>
                <w:lang w:eastAsia="zh-CN"/>
              </w:rPr>
              <w:t>穿越工程</w:t>
            </w:r>
          </w:p>
        </w:tc>
        <w:tc>
          <w:tcPr>
            <w:tcW w:w="206"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河流</w:t>
            </w:r>
          </w:p>
        </w:tc>
        <w:tc>
          <w:tcPr>
            <w:tcW w:w="2622"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本工程包含河流大型穿越 1 处，东河穿越。穿越长度1300m，穿越方式采用定向钻穿越；</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河流、沟渠小型穿越共计15处，总长度450m，均采用大开挖穿越方式</w:t>
            </w:r>
          </w:p>
        </w:tc>
        <w:tc>
          <w:tcPr>
            <w:tcW w:w="703"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施工废水、扬尘、噪声、生活垃圾、生活污水、水土流失、施工弃土、建筑废渣等</w:t>
            </w:r>
          </w:p>
        </w:tc>
        <w:tc>
          <w:tcPr>
            <w:tcW w:w="646"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正常状态下无污染问题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350" w:hRule="atLeast"/>
        </w:trPr>
        <w:tc>
          <w:tcPr>
            <w:tcW w:w="267"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vMerge w:val="continue"/>
            <w:tcBorders>
              <w:tl2br w:val="nil"/>
              <w:tr2bl w:val="nil"/>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p>
        </w:tc>
        <w:tc>
          <w:tcPr>
            <w:tcW w:w="206"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2"/>
                <w:sz w:val="21"/>
                <w:szCs w:val="21"/>
                <w:u w:val="none"/>
                <w:lang w:val="en-US" w:eastAsia="zh-CN" w:bidi="ar-SA"/>
              </w:rPr>
              <w:t>公路</w:t>
            </w:r>
          </w:p>
        </w:tc>
        <w:tc>
          <w:tcPr>
            <w:tcW w:w="2622"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本工程乡村公路穿越26次，采用顶管方式进行，总计520m，碎石路和机耕道18次，碎石路和机耕道采用开挖+混凝土盖板进行，总计360m，无等级公路穿越。</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95" w:hRule="atLeast"/>
        </w:trPr>
        <w:tc>
          <w:tcPr>
            <w:tcW w:w="267"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辅助工程</w:t>
            </w:r>
          </w:p>
        </w:tc>
        <w:tc>
          <w:tcPr>
            <w:tcW w:w="55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管道防腐</w:t>
            </w: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线路管道防腐采取外防腐层加阴极保护的联合保护方案。管道全线采用常温型聚乙</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烯三层结构（三层 PE）外防腐层；管道阴极保护采用强制电流法。</w:t>
            </w:r>
          </w:p>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站内地面设备、管道采用涂装防腐涂料的防腐方案；站内埋地管道防腐采用以三层PE 加强级外防腐层为主的方式。本工程推荐对新建陵江清管站站内埋地管道和设施实施区域阴极保护，保护站场管道设备的安全运行。</w:t>
            </w:r>
          </w:p>
        </w:tc>
        <w:tc>
          <w:tcPr>
            <w:tcW w:w="703" w:type="pct"/>
            <w:vMerge w:val="restart"/>
            <w:tcBorders>
              <w:tl2br w:val="nil"/>
              <w:tr2bl w:val="nil"/>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646" w:type="pct"/>
            <w:tcBorders>
              <w:tl2br w:val="nil"/>
              <w:tr2bl w:val="nil"/>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800" w:hRule="atLeast"/>
        </w:trPr>
        <w:tc>
          <w:tcPr>
            <w:tcW w:w="267"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自动控制</w:t>
            </w: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元坝首站（扩建）已设置了站控系统，站控系统对站场新增的工艺变量及设备运行状态的数据采集、监视控制及联锁保护。本次改造在原系统上进行扩容。</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陵江清管站设置站控系统对站场的工艺变量及设备运行状态的数据采集、监视控制及联锁保护。</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tcBorders>
              <w:tl2br w:val="nil"/>
              <w:tr2bl w:val="nil"/>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320" w:hRule="atLeast"/>
        </w:trPr>
        <w:tc>
          <w:tcPr>
            <w:tcW w:w="267"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通信</w:t>
            </w: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本工程采用光纤通信作为 SCADA 数据传输的主用通信方式，在元坝首站和陵江清管站新建 SDH 2.5G 光通信站，接入中贵线 SDH 系统。</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tcBorders>
              <w:tl2br w:val="nil"/>
              <w:tr2bl w:val="nil"/>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295" w:hRule="atLeast"/>
        </w:trPr>
        <w:tc>
          <w:tcPr>
            <w:tcW w:w="267"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供水</w:t>
            </w: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陵江清管站为为无人值守站场，仅需考虑值班人员的生活用水，此用水量较小，且为间歇临时性用水，拟采用清水罐车（带加压泵）从苍溪县拉运至站内。在陵江清管站内设置 1套高架水箱供水系统，罐车拉运来水进入站内设置的高架水箱内，水箱出水经紫外线净水仪消毒后，供给站内各用水点使用</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PrEx>
        <w:trPr>
          <w:trHeight w:val="1275" w:hRule="atLeast"/>
        </w:trPr>
        <w:tc>
          <w:tcPr>
            <w:tcW w:w="267"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排水</w:t>
            </w: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元坝首站依托原有污水处理设施；陵江清管站站附近均无市政排水系统可供依托。拟将站场内生活污水经排水管道收集、化粪池预处理后暂存污水集水池，用作场内绿化及农肥施用</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cs="Times New Roman"/>
                <w:i w:val="0"/>
                <w:iCs w:val="0"/>
                <w:color w:val="auto"/>
                <w:sz w:val="21"/>
                <w:szCs w:val="21"/>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85" w:hRule="atLeast"/>
        </w:trPr>
        <w:tc>
          <w:tcPr>
            <w:tcW w:w="267"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供电</w:t>
            </w: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元坝首站扩建新增负荷电源引自元坝气田天然气增压输送工程元坝分输站内现有低压电源。</w:t>
            </w:r>
          </w:p>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新建陵江清管站的 10kV 电源采用 1 回 10kV 外电供电，采用架空线路“T”接引至，架空线路（导线规格暂定 LGJ-35）长度约 3km。</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tcBorders>
              <w:tl2br w:val="nil"/>
              <w:tr2bl w:val="nil"/>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800" w:hRule="atLeast"/>
        </w:trPr>
        <w:tc>
          <w:tcPr>
            <w:tcW w:w="267"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tcBorders>
              <w:tl2br w:val="nil"/>
              <w:tr2bl w:val="nil"/>
            </w:tcBorders>
            <w:shd w:val="clear" w:color="auto" w:fill="auto"/>
            <w:noWrap/>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消防系统</w:t>
            </w: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本工程陵江清管站为五级场站，不设消防给水设施，新增手提式磷酸铵盐干粉灭火器、推车式磷酸铵盐干粉灭火器、手提式 CO</w:t>
            </w:r>
            <w:r>
              <w:rPr>
                <w:rFonts w:hint="default" w:ascii="Times New Roman" w:hAnsi="Times New Roman" w:eastAsia="宋体" w:cs="Times New Roman"/>
                <w:i w:val="0"/>
                <w:iCs w:val="0"/>
                <w:color w:val="auto"/>
                <w:kern w:val="0"/>
                <w:sz w:val="21"/>
                <w:szCs w:val="21"/>
                <w:u w:val="none"/>
                <w:vertAlign w:val="subscript"/>
                <w:lang w:val="en-US" w:eastAsia="zh-CN" w:bidi="ar"/>
              </w:rPr>
              <w:t xml:space="preserve">2 </w:t>
            </w:r>
            <w:r>
              <w:rPr>
                <w:rFonts w:hint="default" w:ascii="Times New Roman" w:hAnsi="Times New Roman" w:eastAsia="宋体" w:cs="Times New Roman"/>
                <w:i w:val="0"/>
                <w:iCs w:val="0"/>
                <w:color w:val="auto"/>
                <w:kern w:val="0"/>
                <w:sz w:val="21"/>
                <w:szCs w:val="21"/>
                <w:u w:val="none"/>
                <w:lang w:val="en-US" w:eastAsia="zh-CN" w:bidi="ar"/>
              </w:rPr>
              <w:t>灭火器等消防设施。</w:t>
            </w:r>
          </w:p>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元坝首站在已建元坝净化厂元坝首站内扩，不新增用地，原站已考虑有完善的消防设施，因此本工程不新增消防设施。</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tcBorders>
              <w:tl2br w:val="nil"/>
              <w:tr2bl w:val="nil"/>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267"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建筑设施</w:t>
            </w: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陵江清管站，新建综合用房一座，新建总建筑面积 130m</w:t>
            </w:r>
            <w:r>
              <w:rPr>
                <w:rFonts w:hint="default" w:ascii="Times New Roman" w:hAnsi="Times New Roman" w:eastAsia="宋体" w:cs="Times New Roman"/>
                <w:i w:val="0"/>
                <w:iCs w:val="0"/>
                <w:color w:val="auto"/>
                <w:kern w:val="0"/>
                <w:sz w:val="21"/>
                <w:szCs w:val="21"/>
                <w:u w:val="none"/>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生活污水、生活垃圾等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267"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3381" w:type="pct"/>
            <w:gridSpan w:val="3"/>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项目配套设置通信线路、外部供电线路、自动控制系统、标志桩等。</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tcBorders>
              <w:tl2br w:val="nil"/>
              <w:tr2bl w:val="nil"/>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10" w:hRule="atLeast"/>
        </w:trPr>
        <w:tc>
          <w:tcPr>
            <w:tcW w:w="267" w:type="pct"/>
            <w:vMerge w:val="restart"/>
            <w:tcBorders>
              <w:tl2br w:val="nil"/>
              <w:tr2bl w:val="nil"/>
            </w:tcBorders>
            <w:shd w:val="clear" w:color="auto" w:fill="auto"/>
            <w:noWrap/>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施工期辅助工程</w:t>
            </w:r>
          </w:p>
        </w:tc>
        <w:tc>
          <w:tcPr>
            <w:tcW w:w="553" w:type="pct"/>
            <w:tcBorders>
              <w:tl2br w:val="nil"/>
              <w:tr2bl w:val="nil"/>
            </w:tcBorders>
            <w:shd w:val="clear" w:color="auto" w:fill="auto"/>
            <w:noWrap/>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水土保持</w:t>
            </w: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做好护坡、堡坎和排水设施，在穿越河流时，没有护岸新修护岸，原有护岸损坏后立即恢复。</w:t>
            </w:r>
          </w:p>
        </w:tc>
        <w:tc>
          <w:tcPr>
            <w:tcW w:w="703"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临时改变土地利用性质，造成一定的农业损失、生态破坏，产生水土流失，产生施工噪声、扬尘、渣土等</w:t>
            </w:r>
          </w:p>
        </w:tc>
        <w:tc>
          <w:tcPr>
            <w:tcW w:w="646" w:type="pct"/>
            <w:tcBorders>
              <w:tl2br w:val="nil"/>
              <w:tr2bl w:val="nil"/>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780" w:hRule="atLeast"/>
        </w:trPr>
        <w:tc>
          <w:tcPr>
            <w:tcW w:w="267" w:type="pct"/>
            <w:vMerge w:val="continue"/>
            <w:tcBorders>
              <w:tl2br w:val="nil"/>
              <w:tr2bl w:val="nil"/>
            </w:tcBorders>
            <w:shd w:val="clear" w:color="auto" w:fill="auto"/>
            <w:noWrap/>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临时料场</w:t>
            </w: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项目充分利用管道开挖料回填，根据工程建设实际情况，本工程所需石料通过外购补充，本工程不再专门设置料场。</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tcBorders>
              <w:tl2br w:val="nil"/>
              <w:tr2bl w:val="nil"/>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359" w:hRule="atLeast"/>
        </w:trPr>
        <w:tc>
          <w:tcPr>
            <w:tcW w:w="267" w:type="pct"/>
            <w:vMerge w:val="continue"/>
            <w:tcBorders>
              <w:tl2br w:val="nil"/>
              <w:tr2bl w:val="nil"/>
            </w:tcBorders>
            <w:shd w:val="clear" w:color="auto" w:fill="auto"/>
            <w:noWrap/>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弃土场</w:t>
            </w: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本工程挖方共计 52.10 万 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（包括表土剥离 17.14 万 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），填方共计32.13 万 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（包括表土回覆 17.13 万 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），通过外购形式获得，弃方 20.93 万 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 xml:space="preserve"> （含松方 29.34 万 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），全部堆弃于弃土场。弃渣场平面面积 6.65 万m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vMerge w:val="restar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臭气、扬尘、固废、噪声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3" w:hRule="atLeast"/>
        </w:trPr>
        <w:tc>
          <w:tcPr>
            <w:tcW w:w="267" w:type="pct"/>
            <w:vMerge w:val="continue"/>
            <w:tcBorders>
              <w:tl2br w:val="nil"/>
              <w:tr2bl w:val="nil"/>
            </w:tcBorders>
            <w:shd w:val="clear" w:color="auto" w:fill="auto"/>
            <w:noWrap/>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弃渣场</w:t>
            </w: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弃渣运至当地人民政府指定的渣场</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06" w:hRule="atLeast"/>
        </w:trPr>
        <w:tc>
          <w:tcPr>
            <w:tcW w:w="267" w:type="pct"/>
            <w:vMerge w:val="continue"/>
            <w:tcBorders>
              <w:tl2br w:val="nil"/>
              <w:tr2bl w:val="nil"/>
            </w:tcBorders>
            <w:shd w:val="clear" w:color="auto" w:fill="auto"/>
            <w:noWrap/>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tcBorders>
              <w:tl2br w:val="nil"/>
              <w:tr2bl w:val="nil"/>
            </w:tcBorders>
            <w:shd w:val="clear" w:color="auto" w:fill="auto"/>
            <w:noWrap/>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施工便道</w:t>
            </w: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本工程新建施工便道 3.52km，改扩建 5.24km，路基宽度 4.5m，路面宽度3m，占地 2.82hm²。施工前，剥离本区表土，表土堆放于道路一侧，后期用于覆土。施工期间大开挖区域下游采取编织袋装土临时挡墙拦挡，防治土石方滚落扩大扰动面积，道路内侧设排水沟。施工结束后回填边坡进行土地整治后种植攀援植物、施工迹地结合灌木植草恢复植被</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3" w:hRule="atLeast"/>
        </w:trPr>
        <w:tc>
          <w:tcPr>
            <w:tcW w:w="267" w:type="pct"/>
            <w:vMerge w:val="continue"/>
            <w:tcBorders>
              <w:tl2br w:val="nil"/>
              <w:tr2bl w:val="nil"/>
            </w:tcBorders>
            <w:shd w:val="clear" w:color="auto" w:fill="auto"/>
            <w:noWrap/>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553" w:type="pct"/>
            <w:tcBorders>
              <w:tl2br w:val="nil"/>
              <w:tr2bl w:val="nil"/>
            </w:tcBorders>
            <w:shd w:val="clear" w:color="auto" w:fill="auto"/>
            <w:noWrap/>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施工营地</w:t>
            </w:r>
          </w:p>
        </w:tc>
        <w:tc>
          <w:tcPr>
            <w:tcW w:w="2828" w:type="pct"/>
            <w:gridSpan w:val="2"/>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施工营地主要租住居民房屋解决，不新建施工营地</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生活垃圾、生活废水、施工废水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2" w:hRule="atLeast"/>
        </w:trPr>
        <w:tc>
          <w:tcPr>
            <w:tcW w:w="267" w:type="pct"/>
            <w:tcBorders>
              <w:tl2br w:val="nil"/>
              <w:tr2bl w:val="nil"/>
            </w:tcBorders>
            <w:shd w:val="clear" w:color="auto" w:fill="auto"/>
            <w:noWrap/>
            <w:vAlign w:val="center"/>
          </w:tcPr>
          <w:p>
            <w:pPr>
              <w:keepNext w:val="0"/>
              <w:keepLines w:val="0"/>
              <w:widowControl/>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工程占地</w:t>
            </w:r>
          </w:p>
        </w:tc>
        <w:tc>
          <w:tcPr>
            <w:tcW w:w="3381" w:type="pct"/>
            <w:gridSpan w:val="3"/>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本工程由管道工程、站场、施工道路等组成，总占地面积 46.23 hm</w:t>
            </w:r>
            <w:r>
              <w:rPr>
                <w:rFonts w:hint="default" w:ascii="Times New Roman" w:hAnsi="Times New Roman" w:eastAsia="宋体" w:cs="Times New Roman"/>
                <w:i w:val="0"/>
                <w:iCs w:val="0"/>
                <w:color w:val="auto"/>
                <w:kern w:val="0"/>
                <w:sz w:val="21"/>
                <w:szCs w:val="21"/>
                <w:u w:val="none"/>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。其中永久占地 9.02 hm</w:t>
            </w:r>
            <w:r>
              <w:rPr>
                <w:rFonts w:hint="default" w:ascii="Times New Roman" w:hAnsi="Times New Roman" w:eastAsia="宋体" w:cs="Times New Roman"/>
                <w:i w:val="0"/>
                <w:iCs w:val="0"/>
                <w:color w:val="auto"/>
                <w:kern w:val="0"/>
                <w:sz w:val="21"/>
                <w:szCs w:val="21"/>
                <w:u w:val="none"/>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，临时占地 37.21hm</w:t>
            </w:r>
            <w:r>
              <w:rPr>
                <w:rFonts w:hint="default" w:ascii="Times New Roman" w:hAnsi="Times New Roman" w:eastAsia="宋体" w:cs="Times New Roman"/>
                <w:i w:val="0"/>
                <w:iCs w:val="0"/>
                <w:color w:val="auto"/>
                <w:kern w:val="0"/>
                <w:sz w:val="21"/>
                <w:szCs w:val="21"/>
                <w:u w:val="none"/>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。占地类型中，采矿用地 0.09 hm</w:t>
            </w:r>
            <w:r>
              <w:rPr>
                <w:rFonts w:hint="default" w:ascii="Times New Roman" w:hAnsi="Times New Roman" w:eastAsia="宋体" w:cs="Times New Roman"/>
                <w:i w:val="0"/>
                <w:iCs w:val="0"/>
                <w:color w:val="auto"/>
                <w:kern w:val="0"/>
                <w:sz w:val="21"/>
                <w:szCs w:val="21"/>
                <w:u w:val="none"/>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，住宅用地 0.85 hm</w:t>
            </w:r>
            <w:r>
              <w:rPr>
                <w:rFonts w:hint="default" w:ascii="Times New Roman" w:hAnsi="Times New Roman" w:eastAsia="宋体" w:cs="Times New Roman"/>
                <w:i w:val="0"/>
                <w:iCs w:val="0"/>
                <w:color w:val="auto"/>
                <w:kern w:val="0"/>
                <w:sz w:val="21"/>
                <w:szCs w:val="21"/>
                <w:u w:val="none"/>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，耕地 27.01 hm</w:t>
            </w:r>
            <w:r>
              <w:rPr>
                <w:rFonts w:hint="default" w:ascii="Times New Roman" w:hAnsi="Times New Roman" w:eastAsia="宋体" w:cs="Times New Roman"/>
                <w:i w:val="0"/>
                <w:iCs w:val="0"/>
                <w:color w:val="auto"/>
                <w:kern w:val="0"/>
                <w:sz w:val="21"/>
                <w:szCs w:val="21"/>
                <w:u w:val="none"/>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，林地 8.92 hm</w:t>
            </w:r>
            <w:r>
              <w:rPr>
                <w:rFonts w:hint="default" w:ascii="Times New Roman" w:hAnsi="Times New Roman" w:eastAsia="宋体" w:cs="Times New Roman"/>
                <w:i w:val="0"/>
                <w:iCs w:val="0"/>
                <w:color w:val="auto"/>
                <w:kern w:val="0"/>
                <w:sz w:val="21"/>
                <w:szCs w:val="21"/>
                <w:u w:val="none"/>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，草地 0.78 hm</w:t>
            </w:r>
            <w:r>
              <w:rPr>
                <w:rFonts w:hint="default" w:ascii="Times New Roman" w:hAnsi="Times New Roman" w:eastAsia="宋体" w:cs="Times New Roman"/>
                <w:i w:val="0"/>
                <w:iCs w:val="0"/>
                <w:color w:val="auto"/>
                <w:kern w:val="0"/>
                <w:sz w:val="21"/>
                <w:szCs w:val="21"/>
                <w:u w:val="none"/>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，水域及水利设施用地 1.86 hm</w:t>
            </w:r>
            <w:r>
              <w:rPr>
                <w:rFonts w:hint="default" w:ascii="Times New Roman" w:hAnsi="Times New Roman" w:eastAsia="宋体" w:cs="Times New Roman"/>
                <w:i w:val="0"/>
                <w:iCs w:val="0"/>
                <w:color w:val="auto"/>
                <w:kern w:val="0"/>
                <w:sz w:val="21"/>
                <w:szCs w:val="21"/>
                <w:u w:val="none"/>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，设施农用地 6.72 hm</w:t>
            </w:r>
            <w:r>
              <w:rPr>
                <w:rFonts w:hint="default" w:ascii="Times New Roman" w:hAnsi="Times New Roman" w:eastAsia="宋体" w:cs="Times New Roman"/>
                <w:i w:val="0"/>
                <w:iCs w:val="0"/>
                <w:color w:val="auto"/>
                <w:kern w:val="0"/>
                <w:sz w:val="21"/>
                <w:szCs w:val="21"/>
                <w:u w:val="none"/>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w:t>
            </w:r>
          </w:p>
        </w:tc>
        <w:tc>
          <w:tcPr>
            <w:tcW w:w="703"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i w:val="0"/>
                <w:iCs w:val="0"/>
                <w:color w:val="auto"/>
                <w:sz w:val="21"/>
                <w:szCs w:val="21"/>
                <w:u w:val="none"/>
              </w:rPr>
            </w:pPr>
          </w:p>
        </w:tc>
        <w:tc>
          <w:tcPr>
            <w:tcW w:w="646" w:type="pct"/>
            <w:tcBorders>
              <w:tl2br w:val="nil"/>
              <w:tr2bl w:val="nil"/>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720" w:hRule="atLeast"/>
        </w:trPr>
        <w:tc>
          <w:tcPr>
            <w:tcW w:w="267" w:type="pct"/>
            <w:tcBorders>
              <w:tl2br w:val="nil"/>
              <w:tr2bl w:val="nil"/>
            </w:tcBorders>
            <w:shd w:val="clear" w:color="auto" w:fill="auto"/>
            <w:noWrap/>
            <w:vAlign w:val="center"/>
          </w:tcPr>
          <w:p>
            <w:pPr>
              <w:keepNext w:val="0"/>
              <w:keepLines w:val="0"/>
              <w:widowControl/>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工程拆迁</w:t>
            </w:r>
          </w:p>
        </w:tc>
        <w:tc>
          <w:tcPr>
            <w:tcW w:w="3381" w:type="pct"/>
            <w:gridSpan w:val="3"/>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本工程电力或通信电杆迁移 25 根；坟墓搬迁 30 座。拆迁工作采用货币包干拆迁制，由地方政府解决拆迁问题</w:t>
            </w:r>
          </w:p>
        </w:tc>
        <w:tc>
          <w:tcPr>
            <w:tcW w:w="703" w:type="pct"/>
            <w:tcBorders>
              <w:tl2br w:val="nil"/>
              <w:tr2bl w:val="nil"/>
            </w:tcBorders>
            <w:shd w:val="clear" w:color="auto" w:fill="auto"/>
            <w:vAlign w:val="center"/>
          </w:tcPr>
          <w:p>
            <w:pPr>
              <w:keepNext w:val="0"/>
              <w:keepLines w:val="0"/>
              <w:widowControl/>
              <w:suppressLineNumbers w:val="0"/>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噪声、扬尘、建筑垃圾</w:t>
            </w:r>
          </w:p>
        </w:tc>
        <w:tc>
          <w:tcPr>
            <w:tcW w:w="646" w:type="pct"/>
            <w:tcBorders>
              <w:tl2br w:val="nil"/>
              <w:tr2bl w:val="nil"/>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bl>
    <w:p>
      <w:pPr>
        <w:pStyle w:val="23"/>
        <w:ind w:left="0" w:leftChars="0" w:firstLine="0" w:firstLineChars="0"/>
        <w:rPr>
          <w:rFonts w:hint="default" w:ascii="Times New Roman" w:hAnsi="Times New Roman" w:eastAsia="宋体" w:cs="Times New Roman"/>
          <w:b/>
          <w:bCs/>
          <w:color w:val="auto"/>
          <w:lang w:val="en-US" w:eastAsia="zh-CN"/>
        </w:rPr>
        <w:sectPr>
          <w:pgSz w:w="16838" w:h="11906" w:orient="landscape"/>
          <w:pgMar w:top="1474" w:right="1814" w:bottom="1474" w:left="1474" w:header="851" w:footer="992" w:gutter="0"/>
          <w:pgBorders w:offsetFrom="page">
            <w:top w:val="none" w:sz="0" w:space="0"/>
            <w:left w:val="none" w:sz="0" w:space="0"/>
            <w:bottom w:val="none" w:sz="0" w:space="0"/>
            <w:right w:val="none" w:sz="0" w:space="0"/>
          </w:pgBorders>
          <w:pgNumType w:fmt="decimal"/>
          <w:cols w:space="0" w:num="1"/>
          <w:rtlGutter w:val="0"/>
          <w:docGrid w:type="lines" w:linePitch="330" w:charSpace="0"/>
        </w:sectPr>
      </w:pPr>
    </w:p>
    <w:p>
      <w:pPr>
        <w:pStyle w:val="6"/>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表2.1-2 主要工程量</w:t>
      </w:r>
    </w:p>
    <w:tbl>
      <w:tblPr>
        <w:tblStyle w:val="24"/>
        <w:tblW w:w="4998" w:type="pct"/>
        <w:tblInd w:w="0" w:type="dxa"/>
        <w:shd w:val="clear" w:color="auto" w:fill="auto"/>
        <w:tblLayout w:type="autofit"/>
        <w:tblCellMar>
          <w:top w:w="0" w:type="dxa"/>
          <w:left w:w="108" w:type="dxa"/>
          <w:bottom w:w="0" w:type="dxa"/>
          <w:right w:w="108" w:type="dxa"/>
        </w:tblCellMar>
      </w:tblPr>
      <w:tblGrid>
        <w:gridCol w:w="1447"/>
        <w:gridCol w:w="5246"/>
        <w:gridCol w:w="1105"/>
        <w:gridCol w:w="1372"/>
      </w:tblGrid>
      <w:tr>
        <w:tblPrEx>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项目</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单位</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数量</w:t>
            </w:r>
          </w:p>
        </w:tc>
      </w:tr>
      <w:tr>
        <w:tblPrEx>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线路</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输气管道（外径×壁厚）、材质</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km</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14.6</w:t>
            </w: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1.1.1</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D1016×21mm L485M 直缝埋弧焊钢管</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km</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14.6</w:t>
            </w:r>
          </w:p>
        </w:tc>
      </w:tr>
      <w:tr>
        <w:tblPrEx>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管道防腐层</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1.2.1</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D1016三层PE常温型加强级防腐层预制</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m2</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42452</w:t>
            </w: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1.2.2</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热煨弯管外防腐</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m2</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4500</w:t>
            </w:r>
          </w:p>
        </w:tc>
      </w:tr>
      <w:tr>
        <w:tblPrEx>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站场区域性阴极保护站</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座</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水工保护</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m3</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26300</w:t>
            </w: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道路</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1.6.1</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新建（施工/伴行）</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km</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3.52</w:t>
            </w: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1.6.2</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改扩建（施工/伴行）</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km</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5.24</w:t>
            </w: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站场</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2.1</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元坝首站（扩建）</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座</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陵江清管站（新建）</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座</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通信</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3.1</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通信线路</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km</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14.6</w:t>
            </w: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通信站</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座</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供配电</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4.1</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外部供电线路</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km</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4.2</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变压器</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台</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公用工程</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5.1</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总图</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5.1.1</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征地面积</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m2</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10000</w:t>
            </w: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5.1.2</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绿化面积</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m2</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1000</w:t>
            </w: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5.2</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给排水及消防</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5.2.1</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高架水箱</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套</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tblPrEx>
          <w:shd w:val="clear" w:color="auto" w:fill="auto"/>
          <w:tblCellMar>
            <w:top w:w="0" w:type="dxa"/>
            <w:left w:w="108" w:type="dxa"/>
            <w:bottom w:w="0" w:type="dxa"/>
            <w:right w:w="108" w:type="dxa"/>
          </w:tblCellMar>
        </w:tblPrEx>
        <w:trPr>
          <w:trHeight w:val="270" w:hRule="atLeast"/>
        </w:trPr>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5.3</w:t>
            </w:r>
          </w:p>
        </w:tc>
        <w:tc>
          <w:tcPr>
            <w:tcW w:w="2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管道维、抢修（依托原有）</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处</w:t>
            </w:r>
          </w:p>
        </w:tc>
        <w:tc>
          <w:tcPr>
            <w:tcW w:w="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bl>
    <w:p>
      <w:pPr>
        <w:pStyle w:val="6"/>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表2.1-3 主要经济技术指标</w:t>
      </w:r>
    </w:p>
    <w:tbl>
      <w:tblPr>
        <w:tblStyle w:val="24"/>
        <w:tblW w:w="4997" w:type="pct"/>
        <w:tblInd w:w="0" w:type="dxa"/>
        <w:shd w:val="clear" w:color="auto" w:fill="auto"/>
        <w:tblLayout w:type="autofit"/>
        <w:tblCellMar>
          <w:top w:w="0" w:type="dxa"/>
          <w:left w:w="108" w:type="dxa"/>
          <w:bottom w:w="0" w:type="dxa"/>
          <w:right w:w="108" w:type="dxa"/>
        </w:tblCellMar>
      </w:tblPr>
      <w:tblGrid>
        <w:gridCol w:w="1417"/>
        <w:gridCol w:w="3379"/>
        <w:gridCol w:w="2066"/>
        <w:gridCol w:w="2306"/>
      </w:tblGrid>
      <w:tr>
        <w:tblPrEx>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项目</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单位</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数量</w:t>
            </w:r>
          </w:p>
        </w:tc>
      </w:tr>
      <w:tr>
        <w:tblPrEx>
          <w:shd w:val="clear" w:color="auto" w:fill="auto"/>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输气规模</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8</w:t>
            </w: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/a</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w:t>
            </w:r>
          </w:p>
        </w:tc>
      </w:tr>
      <w:tr>
        <w:tblPrEx>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设计输气能力</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8</w:t>
            </w: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/a</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w:t>
            </w:r>
          </w:p>
        </w:tc>
      </w:tr>
      <w:tr>
        <w:tblPrEx>
          <w:shd w:val="clear" w:color="auto" w:fill="auto"/>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设计压力</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MPa</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r>
      <w:tr>
        <w:tblPrEx>
          <w:shd w:val="clear" w:color="auto" w:fill="auto"/>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钢材用量</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t</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7523</w:t>
            </w:r>
          </w:p>
        </w:tc>
      </w:tr>
      <w:tr>
        <w:tblPrEx>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电力</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104kWh/a</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14.92</w:t>
            </w:r>
          </w:p>
        </w:tc>
      </w:tr>
      <w:tr>
        <w:tblPrEx>
          <w:shd w:val="clear" w:color="auto" w:fill="auto"/>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总建筑面积</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130</w:t>
            </w:r>
          </w:p>
        </w:tc>
      </w:tr>
      <w:tr>
        <w:tblPrEx>
          <w:shd w:val="clear" w:color="auto" w:fill="auto"/>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站场永久性征地</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/亩</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10000/15亩</w:t>
            </w:r>
          </w:p>
        </w:tc>
      </w:tr>
      <w:tr>
        <w:tblPrEx>
          <w:shd w:val="clear" w:color="auto" w:fill="auto"/>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报批总投资</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万元</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37714</w:t>
            </w:r>
          </w:p>
        </w:tc>
      </w:tr>
      <w:tr>
        <w:tblPrEx>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6.1</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建设投资</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万元</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36919</w:t>
            </w:r>
          </w:p>
        </w:tc>
      </w:tr>
      <w:tr>
        <w:tblPrEx>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6.2</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建设期利息</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万元</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373</w:t>
            </w:r>
          </w:p>
        </w:tc>
      </w:tr>
      <w:tr>
        <w:tblPrEx>
          <w:shd w:val="clear" w:color="auto" w:fill="auto"/>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6.3</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铺底流动资金</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万元</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58</w:t>
            </w:r>
          </w:p>
        </w:tc>
      </w:tr>
      <w:tr>
        <w:tblPrEx>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管输成本</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0.0016</w:t>
            </w:r>
          </w:p>
        </w:tc>
      </w:tr>
      <w:tr>
        <w:tblPrEx>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7.1</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年均运营成本费用</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万元</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1555</w:t>
            </w:r>
          </w:p>
        </w:tc>
      </w:tr>
      <w:tr>
        <w:tblPrEx>
          <w:shd w:val="clear" w:color="auto" w:fill="auto"/>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7.2</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年均总成本费用</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万元</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3065</w:t>
            </w:r>
          </w:p>
        </w:tc>
      </w:tr>
      <w:tr>
        <w:tblPrEx>
          <w:shd w:val="clear" w:color="auto" w:fill="auto"/>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财务评价指标</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万元</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8.1</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管输费</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元/m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0.0091</w:t>
            </w:r>
          </w:p>
        </w:tc>
      </w:tr>
      <w:tr>
        <w:tblPrEx>
          <w:shd w:val="clear" w:color="auto" w:fill="auto"/>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8.2</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财务内部收益率(税后)</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6.00 </w:t>
            </w:r>
          </w:p>
        </w:tc>
      </w:tr>
      <w:tr>
        <w:tblPrEx>
          <w:shd w:val="clear" w:color="auto" w:fill="auto"/>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8.3</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投资回收期(税后)</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年</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14.73</w:t>
            </w:r>
          </w:p>
        </w:tc>
      </w:tr>
      <w:tr>
        <w:tblPrEx>
          <w:shd w:val="clear" w:color="auto" w:fill="auto"/>
          <w:tblCellMar>
            <w:top w:w="0" w:type="dxa"/>
            <w:left w:w="108" w:type="dxa"/>
            <w:bottom w:w="0" w:type="dxa"/>
            <w:right w:w="108" w:type="dxa"/>
          </w:tblCellMar>
        </w:tblPrEx>
        <w:trPr>
          <w:trHeight w:val="270" w:hRule="atLeast"/>
        </w:trPr>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8.4</w:t>
            </w:r>
          </w:p>
        </w:tc>
        <w:tc>
          <w:tcPr>
            <w:tcW w:w="18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财务净现值(ic=6%）</w:t>
            </w:r>
          </w:p>
        </w:tc>
        <w:tc>
          <w:tcPr>
            <w:tcW w:w="1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万元</w:t>
            </w:r>
          </w:p>
        </w:tc>
        <w:tc>
          <w:tcPr>
            <w:tcW w:w="12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r>
    </w:tbl>
    <w:p>
      <w:pPr>
        <w:pStyle w:val="5"/>
        <w:bidi w:val="0"/>
        <w:rPr>
          <w:rFonts w:hint="default" w:ascii="Times New Roman" w:hAnsi="Times New Roman" w:eastAsia="宋体" w:cs="Times New Roman"/>
          <w:color w:val="auto"/>
          <w:lang w:val="en-US" w:eastAsia="zh-CN"/>
        </w:rPr>
      </w:pPr>
      <w:bookmarkStart w:id="26" w:name="_Toc5896"/>
      <w:r>
        <w:rPr>
          <w:rFonts w:hint="default" w:ascii="Times New Roman" w:hAnsi="Times New Roman" w:eastAsia="宋体" w:cs="Times New Roman"/>
          <w:color w:val="auto"/>
          <w:lang w:val="en-US" w:eastAsia="zh-CN"/>
        </w:rPr>
        <w:t>2.2 输气工艺与物性</w:t>
      </w:r>
      <w:bookmarkEnd w:id="26"/>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本工程气源主要为川渝地区天然气，天然气气质均达到 GB17820-2018 国家一类气标准，部分气质组分见表。</w:t>
      </w:r>
    </w:p>
    <w:p>
      <w:pPr>
        <w:pStyle w:val="6"/>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表2.2-1川渝地区天然气气质组分</w:t>
      </w:r>
    </w:p>
    <w:tbl>
      <w:tblPr>
        <w:tblStyle w:val="24"/>
        <w:tblW w:w="5000" w:type="pct"/>
        <w:tblInd w:w="0" w:type="dxa"/>
        <w:shd w:val="clear" w:color="auto" w:fill="auto"/>
        <w:tblLayout w:type="fixed"/>
        <w:tblCellMar>
          <w:top w:w="0" w:type="dxa"/>
          <w:left w:w="108" w:type="dxa"/>
          <w:bottom w:w="0" w:type="dxa"/>
          <w:right w:w="108" w:type="dxa"/>
        </w:tblCellMar>
      </w:tblPr>
      <w:tblGrid>
        <w:gridCol w:w="853"/>
        <w:gridCol w:w="1173"/>
        <w:gridCol w:w="1295"/>
        <w:gridCol w:w="1105"/>
        <w:gridCol w:w="1241"/>
        <w:gridCol w:w="1241"/>
        <w:gridCol w:w="1106"/>
        <w:gridCol w:w="1160"/>
      </w:tblGrid>
      <w:tr>
        <w:tblPrEx>
          <w:shd w:val="clear" w:color="auto" w:fill="auto"/>
          <w:tblCellMar>
            <w:top w:w="0" w:type="dxa"/>
            <w:left w:w="108" w:type="dxa"/>
            <w:bottom w:w="0" w:type="dxa"/>
            <w:right w:w="108" w:type="dxa"/>
          </w:tblCellMar>
        </w:tblPrEx>
        <w:trPr>
          <w:trHeight w:val="300" w:hRule="atLeast"/>
        </w:trPr>
        <w:tc>
          <w:tcPr>
            <w:tcW w:w="46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磨溪第二净化厂产品气气质组分</w:t>
            </w:r>
          </w:p>
        </w:tc>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组分</w:t>
            </w:r>
          </w:p>
        </w:tc>
        <w:tc>
          <w:tcPr>
            <w:tcW w:w="7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摩尔百分率（%）</w:t>
            </w:r>
          </w:p>
        </w:tc>
        <w:tc>
          <w:tcPr>
            <w:tcW w:w="60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川东北高含硫产品气气质组分</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组分/摩尔百分率（%）</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罗家寨</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渡口河</w:t>
            </w:r>
          </w:p>
        </w:tc>
        <w:tc>
          <w:tcPr>
            <w:tcW w:w="6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铁山坡</w:t>
            </w:r>
          </w:p>
        </w:tc>
      </w:tr>
      <w:tr>
        <w:tblPrEx>
          <w:shd w:val="clear" w:color="auto" w:fill="auto"/>
          <w:tblCellMar>
            <w:top w:w="0" w:type="dxa"/>
            <w:left w:w="108" w:type="dxa"/>
            <w:bottom w:w="0" w:type="dxa"/>
            <w:right w:w="108" w:type="dxa"/>
          </w:tblCellMar>
        </w:tblPrEx>
        <w:trPr>
          <w:trHeight w:val="300" w:hRule="atLeast"/>
        </w:trPr>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CH</w:t>
            </w:r>
            <w:r>
              <w:rPr>
                <w:rFonts w:hint="default" w:ascii="Times New Roman" w:hAnsi="Times New Roman" w:eastAsia="宋体" w:cs="Times New Roman"/>
                <w:i w:val="0"/>
                <w:iCs w:val="0"/>
                <w:color w:val="auto"/>
                <w:kern w:val="0"/>
                <w:sz w:val="21"/>
                <w:szCs w:val="21"/>
                <w:u w:val="none"/>
                <w:vertAlign w:val="subscript"/>
                <w:lang w:val="en-US" w:eastAsia="zh-CN" w:bidi="ar"/>
              </w:rPr>
              <w:t>4</w:t>
            </w:r>
          </w:p>
        </w:tc>
        <w:tc>
          <w:tcPr>
            <w:tcW w:w="7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98.088</w:t>
            </w:r>
          </w:p>
        </w:tc>
        <w:tc>
          <w:tcPr>
            <w:tcW w:w="60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CH</w:t>
            </w:r>
            <w:r>
              <w:rPr>
                <w:rFonts w:hint="default" w:ascii="Times New Roman" w:hAnsi="Times New Roman" w:eastAsia="宋体" w:cs="Times New Roman"/>
                <w:i w:val="0"/>
                <w:iCs w:val="0"/>
                <w:color w:val="auto"/>
                <w:kern w:val="0"/>
                <w:sz w:val="21"/>
                <w:szCs w:val="21"/>
                <w:u w:val="none"/>
                <w:vertAlign w:val="subscript"/>
                <w:lang w:val="en-US" w:eastAsia="zh-CN" w:bidi="ar"/>
              </w:rPr>
              <w:t>4</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95.873</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96.2</w:t>
            </w:r>
          </w:p>
        </w:tc>
        <w:tc>
          <w:tcPr>
            <w:tcW w:w="6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95.62</w:t>
            </w:r>
          </w:p>
        </w:tc>
      </w:tr>
      <w:tr>
        <w:tblPrEx>
          <w:shd w:val="clear" w:color="auto" w:fill="auto"/>
          <w:tblCellMar>
            <w:top w:w="0" w:type="dxa"/>
            <w:left w:w="108" w:type="dxa"/>
            <w:bottom w:w="0" w:type="dxa"/>
            <w:right w:w="108" w:type="dxa"/>
          </w:tblCellMar>
        </w:tblPrEx>
        <w:trPr>
          <w:trHeight w:val="300" w:hRule="atLeast"/>
        </w:trPr>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w:t>
            </w:r>
            <w:r>
              <w:rPr>
                <w:rFonts w:hint="default" w:ascii="Times New Roman" w:hAnsi="Times New Roman" w:eastAsia="宋体" w:cs="Times New Roman"/>
                <w:i w:val="0"/>
                <w:iCs w:val="0"/>
                <w:color w:val="auto"/>
                <w:kern w:val="0"/>
                <w:sz w:val="21"/>
                <w:szCs w:val="21"/>
                <w:u w:val="none"/>
                <w:vertAlign w:val="sub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H</w:t>
            </w:r>
            <w:r>
              <w:rPr>
                <w:rFonts w:hint="default" w:ascii="Times New Roman" w:hAnsi="Times New Roman" w:eastAsia="宋体" w:cs="Times New Roman"/>
                <w:i w:val="0"/>
                <w:iCs w:val="0"/>
                <w:color w:val="auto"/>
                <w:kern w:val="0"/>
                <w:sz w:val="21"/>
                <w:szCs w:val="21"/>
                <w:u w:val="none"/>
                <w:vertAlign w:val="subscript"/>
                <w:lang w:val="en-US" w:eastAsia="zh-CN" w:bidi="ar"/>
              </w:rPr>
              <w:t>6</w:t>
            </w:r>
          </w:p>
        </w:tc>
        <w:tc>
          <w:tcPr>
            <w:tcW w:w="7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0.1447</w:t>
            </w:r>
          </w:p>
        </w:tc>
        <w:tc>
          <w:tcPr>
            <w:tcW w:w="60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w:t>
            </w:r>
            <w:r>
              <w:rPr>
                <w:rFonts w:hint="default" w:ascii="Times New Roman" w:hAnsi="Times New Roman" w:eastAsia="宋体" w:cs="Times New Roman"/>
                <w:i w:val="0"/>
                <w:iCs w:val="0"/>
                <w:color w:val="auto"/>
                <w:kern w:val="0"/>
                <w:sz w:val="21"/>
                <w:szCs w:val="21"/>
                <w:u w:val="none"/>
                <w:vertAlign w:val="sub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H</w:t>
            </w:r>
            <w:r>
              <w:rPr>
                <w:rFonts w:hint="default" w:ascii="Times New Roman" w:hAnsi="Times New Roman" w:eastAsia="宋体" w:cs="Times New Roman"/>
                <w:i w:val="0"/>
                <w:iCs w:val="0"/>
                <w:color w:val="auto"/>
                <w:kern w:val="0"/>
                <w:sz w:val="21"/>
                <w:szCs w:val="21"/>
                <w:u w:val="none"/>
                <w:vertAlign w:val="subscript"/>
                <w:lang w:val="en-US" w:eastAsia="zh-CN" w:bidi="ar"/>
              </w:rPr>
              <w:t>6</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0.081</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0.06</w:t>
            </w:r>
          </w:p>
        </w:tc>
        <w:tc>
          <w:tcPr>
            <w:tcW w:w="6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0.06</w:t>
            </w:r>
          </w:p>
        </w:tc>
      </w:tr>
      <w:tr>
        <w:tblPrEx>
          <w:shd w:val="clear" w:color="auto" w:fill="auto"/>
          <w:tblCellMar>
            <w:top w:w="0" w:type="dxa"/>
            <w:left w:w="108" w:type="dxa"/>
            <w:bottom w:w="0" w:type="dxa"/>
            <w:right w:w="108" w:type="dxa"/>
          </w:tblCellMar>
        </w:tblPrEx>
        <w:trPr>
          <w:trHeight w:val="300" w:hRule="atLeast"/>
        </w:trPr>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w:t>
            </w:r>
            <w:r>
              <w:rPr>
                <w:rFonts w:hint="default" w:ascii="Times New Roman" w:hAnsi="Times New Roman" w:eastAsia="宋体" w:cs="Times New Roman"/>
                <w:i w:val="0"/>
                <w:iCs w:val="0"/>
                <w:color w:val="auto"/>
                <w:kern w:val="0"/>
                <w:sz w:val="21"/>
                <w:szCs w:val="21"/>
                <w:u w:val="none"/>
                <w:vertAlign w:val="sub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H</w:t>
            </w:r>
            <w:r>
              <w:rPr>
                <w:rFonts w:hint="default" w:ascii="Times New Roman" w:hAnsi="Times New Roman" w:eastAsia="宋体" w:cs="Times New Roman"/>
                <w:i w:val="0"/>
                <w:iCs w:val="0"/>
                <w:color w:val="auto"/>
                <w:kern w:val="0"/>
                <w:sz w:val="21"/>
                <w:szCs w:val="21"/>
                <w:u w:val="none"/>
                <w:vertAlign w:val="subscript"/>
                <w:lang w:val="en-US" w:eastAsia="zh-CN" w:bidi="ar"/>
              </w:rPr>
              <w:t>8</w:t>
            </w:r>
          </w:p>
        </w:tc>
        <w:tc>
          <w:tcPr>
            <w:tcW w:w="7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0.0104</w:t>
            </w:r>
          </w:p>
        </w:tc>
        <w:tc>
          <w:tcPr>
            <w:tcW w:w="60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w:t>
            </w:r>
            <w:r>
              <w:rPr>
                <w:rFonts w:hint="default" w:ascii="Times New Roman" w:hAnsi="Times New Roman" w:eastAsia="宋体" w:cs="Times New Roman"/>
                <w:i w:val="0"/>
                <w:iCs w:val="0"/>
                <w:color w:val="auto"/>
                <w:kern w:val="0"/>
                <w:sz w:val="21"/>
                <w:szCs w:val="21"/>
                <w:u w:val="none"/>
                <w:vertAlign w:val="sub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H</w:t>
            </w:r>
            <w:r>
              <w:rPr>
                <w:rFonts w:hint="default" w:ascii="Times New Roman" w:hAnsi="Times New Roman" w:eastAsia="宋体" w:cs="Times New Roman"/>
                <w:i w:val="0"/>
                <w:iCs w:val="0"/>
                <w:color w:val="auto"/>
                <w:kern w:val="0"/>
                <w:sz w:val="21"/>
                <w:szCs w:val="21"/>
                <w:u w:val="none"/>
                <w:vertAlign w:val="subscript"/>
                <w:lang w:val="en-US" w:eastAsia="zh-CN" w:bidi="ar"/>
              </w:rPr>
              <w:t>8</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0.023</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0.045</w:t>
            </w:r>
          </w:p>
        </w:tc>
        <w:tc>
          <w:tcPr>
            <w:tcW w:w="6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0.01</w:t>
            </w:r>
          </w:p>
        </w:tc>
      </w:tr>
      <w:tr>
        <w:tblPrEx>
          <w:shd w:val="clear" w:color="auto" w:fill="auto"/>
          <w:tblCellMar>
            <w:top w:w="0" w:type="dxa"/>
            <w:left w:w="108" w:type="dxa"/>
            <w:bottom w:w="0" w:type="dxa"/>
            <w:right w:w="108" w:type="dxa"/>
          </w:tblCellMar>
        </w:tblPrEx>
        <w:trPr>
          <w:trHeight w:val="300" w:hRule="atLeast"/>
        </w:trPr>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CO</w:t>
            </w:r>
            <w:r>
              <w:rPr>
                <w:rFonts w:hint="default" w:ascii="Times New Roman" w:hAnsi="Times New Roman" w:eastAsia="宋体" w:cs="Times New Roman"/>
                <w:i w:val="0"/>
                <w:iCs w:val="0"/>
                <w:color w:val="auto"/>
                <w:kern w:val="0"/>
                <w:sz w:val="21"/>
                <w:szCs w:val="21"/>
                <w:u w:val="none"/>
                <w:vertAlign w:val="subscript"/>
                <w:lang w:val="en-US" w:eastAsia="zh-CN" w:bidi="ar"/>
              </w:rPr>
              <w:t>2</w:t>
            </w:r>
          </w:p>
        </w:tc>
        <w:tc>
          <w:tcPr>
            <w:tcW w:w="7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1.5943</w:t>
            </w:r>
          </w:p>
        </w:tc>
        <w:tc>
          <w:tcPr>
            <w:tcW w:w="60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N</w:t>
            </w:r>
            <w:r>
              <w:rPr>
                <w:rFonts w:hint="default" w:ascii="Times New Roman" w:hAnsi="Times New Roman" w:eastAsia="宋体" w:cs="Times New Roman"/>
                <w:i w:val="0"/>
                <w:iCs w:val="0"/>
                <w:color w:val="auto"/>
                <w:kern w:val="0"/>
                <w:sz w:val="21"/>
                <w:szCs w:val="21"/>
                <w:u w:val="none"/>
                <w:vertAlign w:val="subscript"/>
                <w:lang w:val="en-US" w:eastAsia="zh-CN" w:bidi="ar"/>
              </w:rPr>
              <w:t>2</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0.808</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1.17</w:t>
            </w:r>
          </w:p>
        </w:tc>
        <w:tc>
          <w:tcPr>
            <w:tcW w:w="6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1.27</w:t>
            </w:r>
          </w:p>
        </w:tc>
      </w:tr>
      <w:tr>
        <w:tblPrEx>
          <w:shd w:val="clear" w:color="auto" w:fill="auto"/>
          <w:tblCellMar>
            <w:top w:w="0" w:type="dxa"/>
            <w:left w:w="108" w:type="dxa"/>
            <w:bottom w:w="0" w:type="dxa"/>
            <w:right w:w="108" w:type="dxa"/>
          </w:tblCellMar>
        </w:tblPrEx>
        <w:trPr>
          <w:trHeight w:val="300" w:hRule="atLeast"/>
        </w:trPr>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H</w:t>
            </w:r>
            <w:r>
              <w:rPr>
                <w:rFonts w:hint="default" w:ascii="Times New Roman" w:hAnsi="Times New Roman" w:eastAsia="宋体" w:cs="Times New Roman"/>
                <w:i w:val="0"/>
                <w:iCs w:val="0"/>
                <w:color w:val="auto"/>
                <w:kern w:val="0"/>
                <w:sz w:val="21"/>
                <w:szCs w:val="21"/>
                <w:u w:val="none"/>
                <w:vertAlign w:val="sub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S</w:t>
            </w:r>
          </w:p>
        </w:tc>
        <w:tc>
          <w:tcPr>
            <w:tcW w:w="7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＜20mg/m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60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CO</w:t>
            </w:r>
            <w:r>
              <w:rPr>
                <w:rFonts w:hint="default" w:ascii="Times New Roman" w:hAnsi="Times New Roman" w:eastAsia="宋体" w:cs="Times New Roman"/>
                <w:i w:val="0"/>
                <w:iCs w:val="0"/>
                <w:color w:val="auto"/>
                <w:kern w:val="0"/>
                <w:sz w:val="21"/>
                <w:szCs w:val="21"/>
                <w:u w:val="none"/>
                <w:vertAlign w:val="subscript"/>
                <w:lang w:val="en-US" w:eastAsia="zh-CN" w:bidi="ar"/>
              </w:rPr>
              <w:t>2</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2.927</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2.43</w:t>
            </w:r>
          </w:p>
        </w:tc>
        <w:tc>
          <w:tcPr>
            <w:tcW w:w="6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2.46</w:t>
            </w:r>
          </w:p>
        </w:tc>
      </w:tr>
      <w:tr>
        <w:tblPrEx>
          <w:shd w:val="clear" w:color="auto" w:fill="auto"/>
          <w:tblCellMar>
            <w:top w:w="0" w:type="dxa"/>
            <w:left w:w="108" w:type="dxa"/>
            <w:bottom w:w="0" w:type="dxa"/>
            <w:right w:w="108" w:type="dxa"/>
          </w:tblCellMar>
        </w:tblPrEx>
        <w:trPr>
          <w:trHeight w:val="300" w:hRule="atLeast"/>
        </w:trPr>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H</w:t>
            </w:r>
            <w:r>
              <w:rPr>
                <w:rFonts w:hint="default" w:ascii="Times New Roman" w:hAnsi="Times New Roman" w:eastAsia="宋体" w:cs="Times New Roman"/>
                <w:i w:val="0"/>
                <w:iCs w:val="0"/>
                <w:color w:val="auto"/>
                <w:kern w:val="0"/>
                <w:sz w:val="21"/>
                <w:szCs w:val="21"/>
                <w:u w:val="none"/>
                <w:vertAlign w:val="sub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O</w:t>
            </w:r>
          </w:p>
        </w:tc>
        <w:tc>
          <w:tcPr>
            <w:tcW w:w="7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0.162</w:t>
            </w:r>
          </w:p>
        </w:tc>
        <w:tc>
          <w:tcPr>
            <w:tcW w:w="60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H</w:t>
            </w:r>
            <w:r>
              <w:rPr>
                <w:rFonts w:hint="default" w:ascii="Times New Roman" w:hAnsi="Times New Roman" w:eastAsia="宋体" w:cs="Times New Roman"/>
                <w:i w:val="0"/>
                <w:iCs w:val="0"/>
                <w:color w:val="auto"/>
                <w:kern w:val="0"/>
                <w:sz w:val="21"/>
                <w:szCs w:val="21"/>
                <w:u w:val="none"/>
                <w:vertAlign w:val="subscript"/>
                <w:lang w:val="en-US" w:eastAsia="zh-CN" w:bidi="ar"/>
              </w:rPr>
              <w:t>2</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0.288</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0.09</w:t>
            </w:r>
          </w:p>
        </w:tc>
        <w:tc>
          <w:tcPr>
            <w:tcW w:w="6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0.57</w:t>
            </w:r>
          </w:p>
        </w:tc>
      </w:tr>
      <w:tr>
        <w:tblPrEx>
          <w:shd w:val="clear" w:color="auto" w:fill="auto"/>
          <w:tblCellMar>
            <w:top w:w="0" w:type="dxa"/>
            <w:left w:w="108" w:type="dxa"/>
            <w:bottom w:w="0" w:type="dxa"/>
            <w:right w:w="108" w:type="dxa"/>
          </w:tblCellMar>
        </w:tblPrEx>
        <w:trPr>
          <w:trHeight w:val="300" w:hRule="atLeast"/>
        </w:trPr>
        <w:tc>
          <w:tcPr>
            <w:tcW w:w="46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龙岗气田产品气气质组分</w:t>
            </w:r>
          </w:p>
        </w:tc>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组分</w:t>
            </w:r>
          </w:p>
        </w:tc>
        <w:tc>
          <w:tcPr>
            <w:tcW w:w="7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摩尔百分率（%）</w:t>
            </w:r>
          </w:p>
        </w:tc>
        <w:tc>
          <w:tcPr>
            <w:tcW w:w="60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H</w:t>
            </w:r>
            <w:r>
              <w:rPr>
                <w:rFonts w:hint="default" w:ascii="Times New Roman" w:hAnsi="Times New Roman" w:eastAsia="宋体" w:cs="Times New Roman"/>
                <w:i w:val="0"/>
                <w:iCs w:val="0"/>
                <w:color w:val="auto"/>
                <w:kern w:val="0"/>
                <w:sz w:val="21"/>
                <w:szCs w:val="21"/>
                <w:u w:val="none"/>
                <w:vertAlign w:val="sub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S</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＜20mg/m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＜20mg/m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6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＜20mg/m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r>
      <w:tr>
        <w:tblPrEx>
          <w:shd w:val="clear" w:color="auto" w:fill="auto"/>
          <w:tblCellMar>
            <w:top w:w="0" w:type="dxa"/>
            <w:left w:w="108" w:type="dxa"/>
            <w:bottom w:w="0" w:type="dxa"/>
            <w:right w:w="108" w:type="dxa"/>
          </w:tblCellMar>
        </w:tblPrEx>
        <w:trPr>
          <w:trHeight w:val="300" w:hRule="atLeast"/>
        </w:trPr>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CH</w:t>
            </w:r>
            <w:r>
              <w:rPr>
                <w:rFonts w:hint="default" w:ascii="Times New Roman" w:hAnsi="Times New Roman" w:eastAsia="宋体" w:cs="Times New Roman"/>
                <w:i w:val="0"/>
                <w:iCs w:val="0"/>
                <w:color w:val="auto"/>
                <w:kern w:val="0"/>
                <w:sz w:val="21"/>
                <w:szCs w:val="21"/>
                <w:u w:val="none"/>
                <w:vertAlign w:val="subscript"/>
                <w:lang w:val="en-US" w:eastAsia="zh-CN" w:bidi="ar"/>
              </w:rPr>
              <w:t>4</w:t>
            </w:r>
          </w:p>
        </w:tc>
        <w:tc>
          <w:tcPr>
            <w:tcW w:w="7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97.07</w:t>
            </w:r>
          </w:p>
        </w:tc>
        <w:tc>
          <w:tcPr>
            <w:tcW w:w="60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川渝地区产品气主要物性参数</w:t>
            </w:r>
          </w:p>
        </w:tc>
        <w:tc>
          <w:tcPr>
            <w:tcW w:w="135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物性参数</w:t>
            </w:r>
          </w:p>
        </w:tc>
        <w:tc>
          <w:tcPr>
            <w:tcW w:w="123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数值</w:t>
            </w:r>
          </w:p>
        </w:tc>
      </w:tr>
      <w:tr>
        <w:tblPrEx>
          <w:shd w:val="clear" w:color="auto" w:fill="auto"/>
          <w:tblCellMar>
            <w:top w:w="0" w:type="dxa"/>
            <w:left w:w="108" w:type="dxa"/>
            <w:bottom w:w="0" w:type="dxa"/>
            <w:right w:w="108" w:type="dxa"/>
          </w:tblCellMar>
        </w:tblPrEx>
        <w:trPr>
          <w:trHeight w:val="300" w:hRule="atLeast"/>
        </w:trPr>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w:t>
            </w:r>
            <w:r>
              <w:rPr>
                <w:rFonts w:hint="default" w:ascii="Times New Roman" w:hAnsi="Times New Roman" w:eastAsia="宋体" w:cs="Times New Roman"/>
                <w:i w:val="0"/>
                <w:iCs w:val="0"/>
                <w:color w:val="auto"/>
                <w:kern w:val="0"/>
                <w:sz w:val="21"/>
                <w:szCs w:val="21"/>
                <w:u w:val="none"/>
                <w:vertAlign w:val="sub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H</w:t>
            </w:r>
            <w:r>
              <w:rPr>
                <w:rFonts w:hint="default" w:ascii="Times New Roman" w:hAnsi="Times New Roman" w:eastAsia="宋体" w:cs="Times New Roman"/>
                <w:i w:val="0"/>
                <w:iCs w:val="0"/>
                <w:color w:val="auto"/>
                <w:kern w:val="0"/>
                <w:sz w:val="21"/>
                <w:szCs w:val="21"/>
                <w:u w:val="none"/>
                <w:vertAlign w:val="subscript"/>
                <w:lang w:val="en-US" w:eastAsia="zh-CN" w:bidi="ar"/>
              </w:rPr>
              <w:t>6</w:t>
            </w:r>
          </w:p>
        </w:tc>
        <w:tc>
          <w:tcPr>
            <w:tcW w:w="7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0.062</w:t>
            </w:r>
          </w:p>
        </w:tc>
        <w:tc>
          <w:tcPr>
            <w:tcW w:w="60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135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H</w:t>
            </w:r>
            <w:r>
              <w:rPr>
                <w:rFonts w:hint="default" w:ascii="Times New Roman" w:hAnsi="Times New Roman" w:eastAsia="宋体" w:cs="Times New Roman"/>
                <w:i w:val="0"/>
                <w:iCs w:val="0"/>
                <w:color w:val="auto"/>
                <w:kern w:val="0"/>
                <w:sz w:val="21"/>
                <w:szCs w:val="21"/>
                <w:u w:val="none"/>
                <w:vertAlign w:val="sub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S（mg/m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123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r>
      <w:tr>
        <w:tblPrEx>
          <w:tblCellMar>
            <w:top w:w="0" w:type="dxa"/>
            <w:left w:w="108" w:type="dxa"/>
            <w:bottom w:w="0" w:type="dxa"/>
            <w:right w:w="108" w:type="dxa"/>
          </w:tblCellMar>
        </w:tblPrEx>
        <w:trPr>
          <w:trHeight w:val="300" w:hRule="atLeast"/>
        </w:trPr>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CO</w:t>
            </w:r>
            <w:r>
              <w:rPr>
                <w:rFonts w:hint="default" w:ascii="Times New Roman" w:hAnsi="Times New Roman" w:eastAsia="宋体" w:cs="Times New Roman"/>
                <w:i w:val="0"/>
                <w:iCs w:val="0"/>
                <w:color w:val="auto"/>
                <w:kern w:val="0"/>
                <w:sz w:val="21"/>
                <w:szCs w:val="21"/>
                <w:u w:val="none"/>
                <w:vertAlign w:val="subscript"/>
                <w:lang w:val="en-US" w:eastAsia="zh-CN" w:bidi="ar"/>
              </w:rPr>
              <w:t>2</w:t>
            </w:r>
          </w:p>
        </w:tc>
        <w:tc>
          <w:tcPr>
            <w:tcW w:w="7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1.794</w:t>
            </w:r>
          </w:p>
        </w:tc>
        <w:tc>
          <w:tcPr>
            <w:tcW w:w="60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135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总硫（mg/m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123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w:t>
            </w:r>
          </w:p>
        </w:tc>
      </w:tr>
      <w:tr>
        <w:tblPrEx>
          <w:tblCellMar>
            <w:top w:w="0" w:type="dxa"/>
            <w:left w:w="108" w:type="dxa"/>
            <w:bottom w:w="0" w:type="dxa"/>
            <w:right w:w="108" w:type="dxa"/>
          </w:tblCellMar>
        </w:tblPrEx>
        <w:trPr>
          <w:trHeight w:val="300" w:hRule="atLeast"/>
        </w:trPr>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N</w:t>
            </w:r>
            <w:r>
              <w:rPr>
                <w:rFonts w:hint="default" w:ascii="Times New Roman" w:hAnsi="Times New Roman" w:eastAsia="宋体" w:cs="Times New Roman"/>
                <w:i w:val="0"/>
                <w:iCs w:val="0"/>
                <w:color w:val="auto"/>
                <w:kern w:val="0"/>
                <w:sz w:val="21"/>
                <w:szCs w:val="21"/>
                <w:u w:val="none"/>
                <w:vertAlign w:val="sub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+其他</w:t>
            </w:r>
          </w:p>
        </w:tc>
        <w:tc>
          <w:tcPr>
            <w:tcW w:w="7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1.07</w:t>
            </w:r>
          </w:p>
        </w:tc>
        <w:tc>
          <w:tcPr>
            <w:tcW w:w="60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135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水露点（℃）</w:t>
            </w:r>
          </w:p>
        </w:tc>
        <w:tc>
          <w:tcPr>
            <w:tcW w:w="123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r>
    </w:tbl>
    <w:p>
      <w:pPr>
        <w:pStyle w:val="6"/>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表2.2-2元坝海相气气质参数</w:t>
      </w:r>
    </w:p>
    <w:tbl>
      <w:tblPr>
        <w:tblStyle w:val="24"/>
        <w:tblW w:w="5000" w:type="pct"/>
        <w:tblInd w:w="0" w:type="dxa"/>
        <w:shd w:val="clear" w:color="auto" w:fill="auto"/>
        <w:tblLayout w:type="autofit"/>
        <w:tblCellMar>
          <w:top w:w="0" w:type="dxa"/>
          <w:left w:w="108" w:type="dxa"/>
          <w:bottom w:w="0" w:type="dxa"/>
          <w:right w:w="108" w:type="dxa"/>
        </w:tblCellMar>
      </w:tblPr>
      <w:tblGrid>
        <w:gridCol w:w="3889"/>
        <w:gridCol w:w="5285"/>
      </w:tblGrid>
      <w:tr>
        <w:tblPrEx>
          <w:shd w:val="clear" w:color="auto" w:fill="auto"/>
          <w:tblCellMar>
            <w:top w:w="0" w:type="dxa"/>
            <w:left w:w="108" w:type="dxa"/>
            <w:bottom w:w="0" w:type="dxa"/>
            <w:right w:w="108" w:type="dxa"/>
          </w:tblCellMar>
        </w:tblPrEx>
        <w:trPr>
          <w:trHeight w:val="300" w:hRule="atLeast"/>
        </w:trPr>
        <w:tc>
          <w:tcPr>
            <w:tcW w:w="21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天然气组分</w:t>
            </w:r>
          </w:p>
        </w:tc>
        <w:tc>
          <w:tcPr>
            <w:tcW w:w="28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组成（mol%）</w:t>
            </w:r>
          </w:p>
        </w:tc>
      </w:tr>
      <w:tr>
        <w:tblPrEx>
          <w:shd w:val="clear" w:color="auto" w:fill="auto"/>
          <w:tblCellMar>
            <w:top w:w="0" w:type="dxa"/>
            <w:left w:w="108" w:type="dxa"/>
            <w:bottom w:w="0" w:type="dxa"/>
            <w:right w:w="108" w:type="dxa"/>
          </w:tblCellMar>
        </w:tblPrEx>
        <w:trPr>
          <w:trHeight w:val="300" w:hRule="atLeast"/>
        </w:trPr>
        <w:tc>
          <w:tcPr>
            <w:tcW w:w="21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甲烷</w:t>
            </w:r>
          </w:p>
        </w:tc>
        <w:tc>
          <w:tcPr>
            <w:tcW w:w="28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98.12</w:t>
            </w:r>
          </w:p>
        </w:tc>
      </w:tr>
      <w:tr>
        <w:tblPrEx>
          <w:shd w:val="clear" w:color="auto" w:fill="auto"/>
          <w:tblCellMar>
            <w:top w:w="0" w:type="dxa"/>
            <w:left w:w="108" w:type="dxa"/>
            <w:bottom w:w="0" w:type="dxa"/>
            <w:right w:w="108" w:type="dxa"/>
          </w:tblCellMar>
        </w:tblPrEx>
        <w:trPr>
          <w:trHeight w:val="300" w:hRule="atLeast"/>
        </w:trPr>
        <w:tc>
          <w:tcPr>
            <w:tcW w:w="21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乙烷</w:t>
            </w:r>
          </w:p>
        </w:tc>
        <w:tc>
          <w:tcPr>
            <w:tcW w:w="28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0.05</w:t>
            </w:r>
          </w:p>
        </w:tc>
      </w:tr>
      <w:tr>
        <w:tblPrEx>
          <w:shd w:val="clear" w:color="auto" w:fill="auto"/>
          <w:tblCellMar>
            <w:top w:w="0" w:type="dxa"/>
            <w:left w:w="108" w:type="dxa"/>
            <w:bottom w:w="0" w:type="dxa"/>
            <w:right w:w="108" w:type="dxa"/>
          </w:tblCellMar>
        </w:tblPrEx>
        <w:trPr>
          <w:trHeight w:val="300" w:hRule="atLeast"/>
        </w:trPr>
        <w:tc>
          <w:tcPr>
            <w:tcW w:w="21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硫化氢</w:t>
            </w:r>
          </w:p>
        </w:tc>
        <w:tc>
          <w:tcPr>
            <w:tcW w:w="28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0mg/m3</w:t>
            </w:r>
          </w:p>
        </w:tc>
      </w:tr>
      <w:tr>
        <w:tblPrEx>
          <w:shd w:val="clear" w:color="auto" w:fill="auto"/>
          <w:tblCellMar>
            <w:top w:w="0" w:type="dxa"/>
            <w:left w:w="108" w:type="dxa"/>
            <w:bottom w:w="0" w:type="dxa"/>
            <w:right w:w="108" w:type="dxa"/>
          </w:tblCellMar>
        </w:tblPrEx>
        <w:trPr>
          <w:trHeight w:val="300" w:hRule="atLeast"/>
        </w:trPr>
        <w:tc>
          <w:tcPr>
            <w:tcW w:w="21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二氧化碳</w:t>
            </w:r>
          </w:p>
        </w:tc>
        <w:tc>
          <w:tcPr>
            <w:tcW w:w="28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0.68</w:t>
            </w:r>
          </w:p>
        </w:tc>
      </w:tr>
      <w:tr>
        <w:tblPrEx>
          <w:shd w:val="clear" w:color="auto" w:fill="auto"/>
          <w:tblCellMar>
            <w:top w:w="0" w:type="dxa"/>
            <w:left w:w="108" w:type="dxa"/>
            <w:bottom w:w="0" w:type="dxa"/>
            <w:right w:w="108" w:type="dxa"/>
          </w:tblCellMar>
        </w:tblPrEx>
        <w:trPr>
          <w:trHeight w:val="300" w:hRule="atLeast"/>
        </w:trPr>
        <w:tc>
          <w:tcPr>
            <w:tcW w:w="21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氮</w:t>
            </w:r>
          </w:p>
        </w:tc>
        <w:tc>
          <w:tcPr>
            <w:tcW w:w="28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0.91</w:t>
            </w:r>
          </w:p>
        </w:tc>
      </w:tr>
      <w:tr>
        <w:tblPrEx>
          <w:shd w:val="clear" w:color="auto" w:fill="auto"/>
          <w:tblCellMar>
            <w:top w:w="0" w:type="dxa"/>
            <w:left w:w="108" w:type="dxa"/>
            <w:bottom w:w="0" w:type="dxa"/>
            <w:right w:w="108" w:type="dxa"/>
          </w:tblCellMar>
        </w:tblPrEx>
        <w:trPr>
          <w:trHeight w:val="300" w:hRule="atLeast"/>
        </w:trPr>
        <w:tc>
          <w:tcPr>
            <w:tcW w:w="21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氢气</w:t>
            </w:r>
          </w:p>
        </w:tc>
        <w:tc>
          <w:tcPr>
            <w:tcW w:w="28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0.16</w:t>
            </w:r>
          </w:p>
        </w:tc>
      </w:tr>
      <w:tr>
        <w:tblPrEx>
          <w:shd w:val="clear" w:color="auto" w:fill="auto"/>
          <w:tblCellMar>
            <w:top w:w="0" w:type="dxa"/>
            <w:left w:w="108" w:type="dxa"/>
            <w:bottom w:w="0" w:type="dxa"/>
            <w:right w:w="108" w:type="dxa"/>
          </w:tblCellMar>
        </w:tblPrEx>
        <w:trPr>
          <w:trHeight w:val="300" w:hRule="atLeast"/>
        </w:trPr>
        <w:tc>
          <w:tcPr>
            <w:tcW w:w="21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氦</w:t>
            </w:r>
          </w:p>
        </w:tc>
        <w:tc>
          <w:tcPr>
            <w:tcW w:w="28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0.05</w:t>
            </w:r>
          </w:p>
        </w:tc>
      </w:tr>
      <w:tr>
        <w:tblPrEx>
          <w:shd w:val="clear" w:color="auto" w:fill="auto"/>
          <w:tblCellMar>
            <w:top w:w="0" w:type="dxa"/>
            <w:left w:w="108" w:type="dxa"/>
            <w:bottom w:w="0" w:type="dxa"/>
            <w:right w:w="108" w:type="dxa"/>
          </w:tblCellMar>
        </w:tblPrEx>
        <w:trPr>
          <w:trHeight w:val="300" w:hRule="atLeast"/>
        </w:trPr>
        <w:tc>
          <w:tcPr>
            <w:tcW w:w="21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物性参数</w:t>
            </w:r>
          </w:p>
        </w:tc>
        <w:tc>
          <w:tcPr>
            <w:tcW w:w="28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5.5~5.7MPa、45℃</w:t>
            </w:r>
          </w:p>
        </w:tc>
      </w:tr>
      <w:tr>
        <w:tblPrEx>
          <w:shd w:val="clear" w:color="auto" w:fill="auto"/>
          <w:tblCellMar>
            <w:top w:w="0" w:type="dxa"/>
            <w:left w:w="108" w:type="dxa"/>
            <w:bottom w:w="0" w:type="dxa"/>
            <w:right w:w="108" w:type="dxa"/>
          </w:tblCellMar>
        </w:tblPrEx>
        <w:trPr>
          <w:trHeight w:val="300" w:hRule="atLeast"/>
        </w:trPr>
        <w:tc>
          <w:tcPr>
            <w:tcW w:w="21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水露点℃</w:t>
            </w:r>
          </w:p>
        </w:tc>
        <w:tc>
          <w:tcPr>
            <w:tcW w:w="28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r>
    </w:tbl>
    <w:p>
      <w:pPr>
        <w:pStyle w:val="2"/>
        <w:rPr>
          <w:rFonts w:hint="default" w:ascii="Times New Roman" w:hAnsi="Times New Roman" w:eastAsia="宋体" w:cs="Times New Roman"/>
          <w:b/>
          <w:bCs/>
          <w:color w:val="auto"/>
          <w:kern w:val="2"/>
          <w:sz w:val="24"/>
          <w:szCs w:val="32"/>
          <w:lang w:val="en-US" w:eastAsia="zh-CN" w:bidi="ar-SA"/>
        </w:rPr>
      </w:pPr>
      <w:r>
        <w:rPr>
          <w:rFonts w:hint="default" w:ascii="Times New Roman" w:hAnsi="Times New Roman" w:eastAsia="宋体" w:cs="Times New Roman"/>
          <w:b/>
          <w:bCs/>
          <w:color w:val="auto"/>
          <w:kern w:val="2"/>
          <w:sz w:val="24"/>
          <w:szCs w:val="32"/>
          <w:lang w:val="en-US" w:eastAsia="zh-CN" w:bidi="ar-SA"/>
        </w:rPr>
        <w:t>表2.2-3元坝陆相气气质参数</w:t>
      </w:r>
    </w:p>
    <w:tbl>
      <w:tblPr>
        <w:tblStyle w:val="24"/>
        <w:tblW w:w="4999" w:type="pct"/>
        <w:tblInd w:w="0" w:type="dxa"/>
        <w:shd w:val="clear" w:color="auto" w:fill="auto"/>
        <w:tblLayout w:type="autofit"/>
        <w:tblCellMar>
          <w:top w:w="0" w:type="dxa"/>
          <w:left w:w="108" w:type="dxa"/>
          <w:bottom w:w="0" w:type="dxa"/>
          <w:right w:w="108" w:type="dxa"/>
        </w:tblCellMar>
      </w:tblPr>
      <w:tblGrid>
        <w:gridCol w:w="3233"/>
        <w:gridCol w:w="3879"/>
        <w:gridCol w:w="2060"/>
      </w:tblGrid>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天然气组分</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元陆5井（mol%）</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元陆7井（mol%）</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甲烷</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94.084</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97.91</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乙烷</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4.032</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0.52</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丙烷</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0.9033</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丁烷</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0.2635</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戊烷</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0.0651</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己烷</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0.0113</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二氧化碳</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0.3918</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1.21</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氮</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0.2231</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0.28</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氧</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0.02</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氦</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0.02</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物性参数</w:t>
            </w:r>
          </w:p>
        </w:tc>
        <w:tc>
          <w:tcPr>
            <w:tcW w:w="323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5.5~5.7MPa、10~30℃</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相对密度</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0.5922</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0.5708</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密度（kg/m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0.7109</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0.6875</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高位热值（kJ/m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38864</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36782</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压缩因子</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0.9978</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0.998</w:t>
            </w:r>
          </w:p>
        </w:tc>
      </w:tr>
      <w:tr>
        <w:tblPrEx>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临界温度（k）</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198.98</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192.41</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临界压力（MPa）</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4.6136</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4.63</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粘度（MPa.s）</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0.0109</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0.0107</w:t>
            </w:r>
          </w:p>
        </w:tc>
      </w:tr>
      <w:tr>
        <w:tblPrEx>
          <w:shd w:val="clear" w:color="auto" w:fill="auto"/>
          <w:tblCellMar>
            <w:top w:w="0" w:type="dxa"/>
            <w:left w:w="108" w:type="dxa"/>
            <w:bottom w:w="0" w:type="dxa"/>
            <w:right w:w="108" w:type="dxa"/>
          </w:tblCellMar>
        </w:tblPrEx>
        <w:trPr>
          <w:trHeight w:val="270" w:hRule="atLeast"/>
        </w:trPr>
        <w:tc>
          <w:tcPr>
            <w:tcW w:w="1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水露点℃</w:t>
            </w:r>
          </w:p>
        </w:tc>
        <w:tc>
          <w:tcPr>
            <w:tcW w:w="2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-9.1</w:t>
            </w:r>
          </w:p>
        </w:tc>
        <w:tc>
          <w:tcPr>
            <w:tcW w:w="1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-9.6</w:t>
            </w:r>
          </w:p>
        </w:tc>
      </w:tr>
    </w:tbl>
    <w:p>
      <w:pPr>
        <w:pStyle w:val="5"/>
        <w:bidi w:val="0"/>
        <w:rPr>
          <w:rFonts w:hint="default" w:ascii="Times New Roman" w:hAnsi="Times New Roman" w:eastAsia="宋体" w:cs="Times New Roman"/>
          <w:color w:val="auto"/>
          <w:lang w:val="en-US" w:eastAsia="zh-CN"/>
        </w:rPr>
      </w:pPr>
      <w:bookmarkStart w:id="27" w:name="_Toc3528"/>
      <w:r>
        <w:rPr>
          <w:rFonts w:hint="default" w:ascii="Times New Roman" w:hAnsi="Times New Roman" w:eastAsia="宋体" w:cs="Times New Roman"/>
          <w:color w:val="auto"/>
          <w:lang w:val="en-US" w:eastAsia="zh-CN"/>
        </w:rPr>
        <w:t>2.3 线路工程</w:t>
      </w:r>
      <w:bookmarkEnd w:id="27"/>
    </w:p>
    <w:p>
      <w:pPr>
        <w:pStyle w:val="2"/>
        <w:jc w:val="both"/>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2.3.1 线路走向</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本工程起于元坝净化厂的元坝首站，线路出站后向南敷设，途经冉家沟、李家湾，圆包梁，在阎家湾穿越东河后，经全民村、朱家湾、孙家沟、曹家院、清盐村，张家湾，最后止于陵江清管站。本工程线路长度约 </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，全线位于四川省广元市苍溪县境内。</w:t>
      </w:r>
      <w:r>
        <w:rPr>
          <w:rFonts w:hint="default" w:ascii="Times New Roman" w:hAnsi="Times New Roman" w:eastAsia="宋体" w:cs="Times New Roman"/>
          <w:color w:val="auto"/>
          <w:lang w:eastAsia="zh-CN"/>
        </w:rPr>
        <w:t>工程</w:t>
      </w:r>
      <w:r>
        <w:rPr>
          <w:rFonts w:hint="default" w:ascii="Times New Roman" w:hAnsi="Times New Roman" w:eastAsia="宋体" w:cs="Times New Roman"/>
          <w:color w:val="auto"/>
          <w:kern w:val="0"/>
          <w:sz w:val="24"/>
          <w:szCs w:val="24"/>
          <w:lang w:val="en-US" w:eastAsia="zh-CN" w:bidi="ar"/>
        </w:rPr>
        <w:t>河流大型穿越 1 次，无高等级公路穿越，乡村水泥路穿越 26 次，碎石路穿越 18 次。本工程约 5.5km 与在建元坝-德阳管道并行。工程线路总体走向图见附图。</w:t>
      </w:r>
    </w:p>
    <w:p>
      <w:pPr>
        <w:pStyle w:val="2"/>
        <w:jc w:val="both"/>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2.3.2线路用管</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根据工程《可研》，本工程天然气管道推荐选用 L485M（X70）钢级，直缝埋弧焊钢管。</w:t>
      </w:r>
    </w:p>
    <w:p>
      <w:pPr>
        <w:pStyle w:val="2"/>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 xml:space="preserve">表2.3-1线路耗钢量统计表 </w:t>
      </w:r>
    </w:p>
    <w:tbl>
      <w:tblPr>
        <w:tblStyle w:val="24"/>
        <w:tblW w:w="4996" w:type="pct"/>
        <w:tblInd w:w="0" w:type="dxa"/>
        <w:shd w:val="clear" w:color="auto" w:fill="auto"/>
        <w:tblLayout w:type="autofit"/>
        <w:tblCellMar>
          <w:top w:w="0" w:type="dxa"/>
          <w:left w:w="108" w:type="dxa"/>
          <w:bottom w:w="0" w:type="dxa"/>
          <w:right w:w="108" w:type="dxa"/>
        </w:tblCellMar>
      </w:tblPr>
      <w:tblGrid>
        <w:gridCol w:w="975"/>
        <w:gridCol w:w="1675"/>
        <w:gridCol w:w="1161"/>
        <w:gridCol w:w="1048"/>
        <w:gridCol w:w="1939"/>
        <w:gridCol w:w="1391"/>
        <w:gridCol w:w="978"/>
      </w:tblGrid>
      <w:tr>
        <w:tblPrEx>
          <w:shd w:val="clear" w:color="auto" w:fill="auto"/>
          <w:tblCellMar>
            <w:top w:w="0" w:type="dxa"/>
            <w:left w:w="108" w:type="dxa"/>
            <w:bottom w:w="0" w:type="dxa"/>
            <w:right w:w="108" w:type="dxa"/>
          </w:tblCellMar>
        </w:tblPrEx>
        <w:trPr>
          <w:trHeight w:val="600" w:hRule="atLeast"/>
        </w:trPr>
        <w:tc>
          <w:tcPr>
            <w:tcW w:w="5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管径（mm）</w:t>
            </w: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地区等级</w:t>
            </w:r>
          </w:p>
        </w:tc>
        <w:tc>
          <w:tcPr>
            <w:tcW w:w="63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设计系数</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长度（km）</w:t>
            </w:r>
          </w:p>
        </w:tc>
        <w:tc>
          <w:tcPr>
            <w:tcW w:w="10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直管及冷弯用管规格（mm）</w:t>
            </w:r>
          </w:p>
        </w:tc>
        <w:tc>
          <w:tcPr>
            <w:tcW w:w="7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热煨弯管规格（mm）</w:t>
            </w:r>
          </w:p>
        </w:tc>
        <w:tc>
          <w:tcPr>
            <w:tcW w:w="53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钢材用量（t）</w:t>
            </w:r>
          </w:p>
        </w:tc>
      </w:tr>
      <w:tr>
        <w:tblPrEx>
          <w:shd w:val="clear" w:color="auto" w:fill="auto"/>
          <w:tblCellMar>
            <w:top w:w="0" w:type="dxa"/>
            <w:left w:w="108" w:type="dxa"/>
            <w:bottom w:w="0" w:type="dxa"/>
            <w:right w:w="108" w:type="dxa"/>
          </w:tblCellMar>
        </w:tblPrEx>
        <w:trPr>
          <w:trHeight w:val="900" w:hRule="atLeast"/>
        </w:trPr>
        <w:tc>
          <w:tcPr>
            <w:tcW w:w="53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1016</w:t>
            </w: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二级地区（一般线路）</w:t>
            </w:r>
          </w:p>
        </w:tc>
        <w:tc>
          <w:tcPr>
            <w:tcW w:w="63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0.6</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13.3</w:t>
            </w:r>
          </w:p>
        </w:tc>
        <w:tc>
          <w:tcPr>
            <w:tcW w:w="10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1016×21 直缝埋弧焊钢管L485M</w:t>
            </w:r>
          </w:p>
        </w:tc>
        <w:tc>
          <w:tcPr>
            <w:tcW w:w="7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1016×21 直缝埋弧焊钢管 L485M</w:t>
            </w:r>
          </w:p>
        </w:tc>
        <w:tc>
          <w:tcPr>
            <w:tcW w:w="53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7523.4</w:t>
            </w:r>
          </w:p>
        </w:tc>
      </w:tr>
      <w:tr>
        <w:tblPrEx>
          <w:shd w:val="clear" w:color="auto" w:fill="auto"/>
          <w:tblCellMar>
            <w:top w:w="0" w:type="dxa"/>
            <w:left w:w="108" w:type="dxa"/>
            <w:bottom w:w="0" w:type="dxa"/>
            <w:right w:w="108" w:type="dxa"/>
          </w:tblCellMar>
        </w:tblPrEx>
        <w:trPr>
          <w:trHeight w:val="900"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二级地区（河流大型穿越）</w:t>
            </w:r>
          </w:p>
        </w:tc>
        <w:tc>
          <w:tcPr>
            <w:tcW w:w="63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10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1016×21 直缝埋弧焊钢管L486M</w:t>
            </w:r>
          </w:p>
        </w:tc>
        <w:tc>
          <w:tcPr>
            <w:tcW w:w="7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1016×26.2直缝埋弧焊钢管 L485M</w:t>
            </w:r>
          </w:p>
        </w:tc>
        <w:tc>
          <w:tcPr>
            <w:tcW w:w="53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bl>
    <w:p>
      <w:pPr>
        <w:pStyle w:val="2"/>
        <w:jc w:val="both"/>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2.3.3管道敷设</w:t>
      </w:r>
    </w:p>
    <w:p>
      <w:pPr>
        <w:keepNext w:val="0"/>
        <w:keepLines w:val="0"/>
        <w:widowControl/>
        <w:suppressLineNumbers w:val="0"/>
        <w:jc w:val="left"/>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2.3.3.1一般段管道敷设</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本工程管道采用沟埋敷设，采用弹性敷设、现场冷弯、热煨弯管三种形式来管道变向要求；特殊地段采用土堤或跨越敷设。在满足最小埋深要求的前提下，管道纵向曲线尽量可能少设弯管。</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1、管沟断面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1）管顶埋深：管道埋深应根据所经地段的农田耕作深度、地下水深度、地形和地质条件综合分析后确定，一般情况下，管顶覆土厚度不小于1.2m。高后果地区管顶埋深不小于 1.5m；对于可能受洪水冲刷的地段，根据现场情况、理论计算结果，宜适当加大埋深或采取相关措施(如过水面、防冲墙等)。对于卵砾石、碎石及石方段，管沟开挖须超挖 0.3m。</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小型河流穿越按照 50 年一遇洪水频率设计，当河床为基岩且在设计洪水下不被冲刷时，管顶应嵌入基岩深度不小于 0.5m；河床为非基岩时，管道埋设在冲刷线以下不小于 1.0m，且管顶埋深不应小于 2.5m；无冲刷或疏浚水域，管顶埋深不应小于 2.5m，同时满足当地水利主管部门的要求</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2）管沟尺寸：当管沟深度小于5m时，管沟底部宽度为管道外径加沟底余量，当管沟沟深超过5m时，应根据土壤类别及物理力学性质确定底宽，并将边坡适当放缓或 加筑平台。（具体数据选取参照项目《可研》及《初设》）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3）管沟回填：管沟回填时，一般土质地段可直接回填原状土；岩石、碎石（含卵砾石）段管沟应在管底先铺设0.3m厚的细土（可利用原状土筛选，压实后细土厚度不应小于0.3m）且平整后方可用吊带吊管下沟，石方段细土回填至管顶0.3m。在回填原状土时应注意将熟土与生土分层回填，先填生土再回填熟土，确保耕作土层应均匀的铺在地表，保证农业耕作持续进行。在下沟管道的端部应留出不小于30m的管段，暂不回填，待连头后回填。在管沟回填时应注意与通信硅管的敷设、回填保持协调，在回填细土至要求标高后等待通信硅管的挑沟、敷设、回填，待硅管回填完毕后再进行原状土回填直至设计标高。管沟回填后应恢复原地貌。</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4）施工作业带：施工作业带宽度对于天然气管道一般地段按24m计，管道穿越林地段可适当减小至20m。对于山区横坡敷设及坡度较陡等局部地段，开辟作业带时需要适当加宽施工作业带宽度，一般不超过30m。施工作业带可根据施工需要局部适当调整作业带宽度，但施工中应遵循尽量压缩作业带宽度、减少占地原则。</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5）</w:t>
      </w:r>
      <w:r>
        <w:rPr>
          <w:rFonts w:hint="default" w:ascii="Times New Roman" w:hAnsi="Times New Roman" w:eastAsia="宋体" w:cs="Times New Roman"/>
          <w:color w:val="auto"/>
          <w:kern w:val="0"/>
          <w:sz w:val="24"/>
          <w:szCs w:val="24"/>
          <w:lang w:val="en-US" w:eastAsia="zh-CN" w:bidi="ar"/>
        </w:rPr>
        <w:t xml:space="preserve">管道转向处理：本工程单根现场冷弯弯管的上限使用角度9°，平面转角在地形条件许可且经济的情况下，可以考虑采用多个冷弯弯管连接方式来替代热煨弯管。每根现场冷弯弯管的弯曲段两侧应至少有各2m长的直管段。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热煨弯管的最小使用角度为12°，按每3一个台阶进行制作，对于1.5的偏差，可以在施工时采用微调管沟进行就位和安装。热煨弯管两端各带不小于0.5m直管段。热煨弯管采用直缝埋弧焊钢管制作。</w:t>
      </w:r>
    </w:p>
    <w:p>
      <w:pPr>
        <w:keepNext w:val="0"/>
        <w:keepLines w:val="0"/>
        <w:widowControl/>
        <w:suppressLineNumbers w:val="0"/>
        <w:jc w:val="left"/>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2.3.3.2特殊地段管道敷设</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（1）山区、丘陵段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①有顺管道走向的宽阔沟谷，则沿谷地内的乡村道路或耕地敷设；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②山区沟谷狭窄，且山梁有一定宽度并与管道走向基本一致，可沿山梁布设管线，处理好上下山段和窄脊、腰岘地段；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③基本沿等高线横坡敷设时，坡度一般要求在 20º以下，且坡面上无较大的地质灾害，穿越冲沟、山谷段要选择坡度较缓、地质条件稳定的地段；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④基本垂直等高线上下山敷设段，坡度一般要求在40º以下，且坡面上无较大的地质灾害，尽量避开冲沟。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总之，山区段没有道路的可劈山修路然后敷设管道，有山间道路的可拓宽，以便管道能够放置在路边；陡坡段只考虑道路可以通到隧道口或坡脚、坡顶，中间斜坡段则采用爬行设备或发送管线施工。设计中尽量满足施工期间的设备、材料运输和管道安装的方便性以及后期运行中的安全性。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（2）经济作物区、果园段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管道所经地区以林区、耕地为主，为减少管线施工对经济作物、果园的损坏，选线过程中尽量选择避绕，对于无法避开区段，管道尽量靠近果树园内农用道路敷设，施工作业带宽度应尽量缩窄，可考虑采用沟下组焊方式以减小施工作业带宽度，以减少占地赔偿。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（3）穿越林区地段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对于林区内的管道施工，作业带宽度减小至 12m，并应预先编制施工安全预案，确保林区内的施工安全。管沟开挖严禁采用爆破方式进行；管沟成型组焊前，应清除管沟附近的树枝、树叶，组焊建议采用沟下焊方式；焊接过程中，应对焊接区一定范围设置临时的隔阻材料（如隔板），防止电弧和火花进入林区；严禁在树林边或树林内吸烟、引弧；对于材料中的易燃物质，应设置于空旷的场地且远离焊接区；施工中应配备一定数量的移动灭火器。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（4）崩塌、滑坡区域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对于受地形条件的限制，管道无法避让滑坡的情况，应对通过滑坡段的管道进行保护，如设置抗滑桩、抗滑挡土墙，同时设置截、排水沟等多种治理措施；对于坡体较薄的崩塌、滑坡，应将管道置于稳定的岩层或土层中，并采取适当工程措施。</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（5）沟谷段管道敷设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应尽量减少管道沿沟段敷设及沿沟谷敷设长度，受地形限制通过沟谷时，应调查沟谷水文参数，管道在相对坡度较缓且开阔的一面坡进行敷设，管沟开挖应避免破坏坡脚的基岩，必要时在坡脚设置挡墙；管道尽量嵌固于基岩中，并保证足够的埋深；迎水面设置防冲墙，根据需要进行护底保护；根据地质情况采取混凝土连续浇筑或混凝土压重块保证稳管抗漂浮。 </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2.3.3与其他管道并行段</w:t>
      </w:r>
    </w:p>
    <w:p>
      <w:pPr>
        <w:keepNext w:val="0"/>
        <w:keepLines w:val="0"/>
        <w:widowControl/>
        <w:suppressLineNumbers w:val="0"/>
        <w:jc w:val="left"/>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本工程管道部分管段与元坝-德阳管道及川东北-川西输气联络线干线并行，并行的长度分别为5.2km和1.2km。</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并行管道的间距执行《油气输送管道并行敷设技术规范》（SY/T 7365-2017）：一般地段两管道并行敷设间距要求土方段不小于10m，石方段不小于20m，由于受地形等条件限制而不能满足以上要求的特殊地段，其并行敷设间距一般应不小于6m。顶管穿越公路时，套管净间距应大于10m。 </w:t>
      </w:r>
    </w:p>
    <w:p>
      <w:pPr>
        <w:pStyle w:val="5"/>
        <w:bidi w:val="0"/>
        <w:rPr>
          <w:rFonts w:hint="default" w:ascii="Times New Roman" w:hAnsi="Times New Roman" w:eastAsia="宋体" w:cs="Times New Roman"/>
          <w:color w:val="auto"/>
          <w:lang w:val="en-US" w:eastAsia="zh-CN"/>
        </w:rPr>
      </w:pPr>
      <w:bookmarkStart w:id="28" w:name="_Toc5825"/>
      <w:r>
        <w:rPr>
          <w:rFonts w:hint="default" w:ascii="Times New Roman" w:hAnsi="Times New Roman" w:eastAsia="宋体" w:cs="Times New Roman"/>
          <w:color w:val="auto"/>
          <w:lang w:val="en-US" w:eastAsia="zh-CN"/>
        </w:rPr>
        <w:t>2.4 穿越工程</w:t>
      </w:r>
      <w:bookmarkEnd w:id="28"/>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2.4.1 河流穿越工程</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对于长度小于或等于200m 的河流、沟渠非开挖穿越，采用顶管方式；对于长度大于 200m 的河流、沟渠非开挖穿越，采用定向钻方式。对于长度小于或等于 300m 的水(鱼、蟹等)塘穿越，采用大开挖方式；对于长度大于300m 的水(鱼、蟹等)塘穿越，采用定向钻方式；连片水(鱼、蟹等)塘穿越优先采用定向钻方式。</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根据工程《可研》，本工程河流大型穿越1次，河流小型和沟渠穿越15次，无跨越工程。河流大型穿越 1 处，东河穿越拟采用定向钻穿越方式穿越东河二级水源保护区。河流、沟渠小型穿越共计15处，总长度450m，均采用大开挖穿越方式。</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2.4.2公路穿越</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工程乡村公路穿越26次，总计520m，碎石路和机耕道18次，总计360m，无等级公路穿越。对于乡村公路采用顶管方式进行，碎石路和机耕道采用开挖+混凝土盖板进行。管道与公路的交角宜尽量控制在60º以上，以减少穿越长度。开挖穿越的水泥路，采用标号为C25 素混凝土恢复路面，厚度不小于原路面厚度且不小于10cm，若原路面厚度小于10cm，应在原路面下缘向下加厚路面厚度。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公路两侧管沟开挖时，应注意地下管道、电缆、光缆等障碍物。管沟回填后应按相应公路施工规范要求迅速恢复路面，施工时根据现场情况采取相应措施进行保护，同时施工过程中在穿越位置应设立临时交通警示标志。新的路面与原路面应有良好搭接。</w:t>
      </w:r>
    </w:p>
    <w:p>
      <w:pPr>
        <w:pStyle w:val="5"/>
        <w:bidi w:val="0"/>
        <w:rPr>
          <w:rFonts w:hint="default" w:ascii="Times New Roman" w:hAnsi="Times New Roman" w:eastAsia="宋体" w:cs="Times New Roman"/>
          <w:color w:val="auto"/>
          <w:lang w:val="en-US" w:eastAsia="zh-CN"/>
        </w:rPr>
      </w:pPr>
      <w:bookmarkStart w:id="29" w:name="_Toc30616"/>
      <w:r>
        <w:rPr>
          <w:rFonts w:hint="default" w:ascii="Times New Roman" w:hAnsi="Times New Roman" w:eastAsia="宋体" w:cs="Times New Roman"/>
          <w:color w:val="auto"/>
          <w:lang w:val="en-US" w:eastAsia="zh-CN"/>
        </w:rPr>
        <w:t>2.5 线路附属设施</w:t>
      </w:r>
      <w:bookmarkEnd w:id="29"/>
      <w:r>
        <w:rPr>
          <w:rFonts w:hint="default" w:ascii="Times New Roman" w:hAnsi="Times New Roman" w:eastAsia="宋体" w:cs="Times New Roman"/>
          <w:color w:val="auto"/>
          <w:lang w:val="en-US" w:eastAsia="zh-CN"/>
        </w:rPr>
        <w:t xml:space="preserve"> </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2.5.1阀室</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为了发生事故时减少泄漏量，便于进行抢修，在管道沿线根据地区等级划分情况和河流大中型穿跨越及站场分布等情况设置线路截断阀室。</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本工程位于二级地区，设元坝首站（扩建）、陵江清管站（新建），线路长度 </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 xml:space="preserve">，线路中间不设置阀室。 </w:t>
      </w:r>
    </w:p>
    <w:p>
      <w:pPr>
        <w:keepNext w:val="0"/>
        <w:keepLines w:val="0"/>
        <w:widowControl/>
        <w:suppressLineNumbers w:val="0"/>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表2.5-1天然气管道站场设置位置分布、数量统计表</w:t>
      </w:r>
    </w:p>
    <w:tbl>
      <w:tblPr>
        <w:tblStyle w:val="24"/>
        <w:tblW w:w="4997" w:type="pct"/>
        <w:jc w:val="center"/>
        <w:shd w:val="clear" w:color="auto" w:fill="auto"/>
        <w:tblLayout w:type="autofit"/>
        <w:tblCellMar>
          <w:top w:w="0" w:type="dxa"/>
          <w:left w:w="108" w:type="dxa"/>
          <w:bottom w:w="0" w:type="dxa"/>
          <w:right w:w="108" w:type="dxa"/>
        </w:tblCellMar>
      </w:tblPr>
      <w:tblGrid>
        <w:gridCol w:w="807"/>
        <w:gridCol w:w="1266"/>
        <w:gridCol w:w="1682"/>
        <w:gridCol w:w="1325"/>
        <w:gridCol w:w="1974"/>
        <w:gridCol w:w="1057"/>
        <w:gridCol w:w="1057"/>
      </w:tblGrid>
      <w:tr>
        <w:tblPrEx>
          <w:shd w:val="clear" w:color="auto" w:fill="auto"/>
          <w:tblCellMar>
            <w:top w:w="0" w:type="dxa"/>
            <w:left w:w="108" w:type="dxa"/>
            <w:bottom w:w="0" w:type="dxa"/>
            <w:right w:w="108" w:type="dxa"/>
          </w:tblCellMar>
        </w:tblPrEx>
        <w:trPr>
          <w:trHeight w:val="270" w:hRule="atLeast"/>
          <w:jc w:val="center"/>
        </w:trPr>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站场</w:t>
            </w:r>
          </w:p>
        </w:tc>
        <w:tc>
          <w:tcPr>
            <w:tcW w:w="9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所在区县</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里程（km）</w:t>
            </w:r>
          </w:p>
        </w:tc>
        <w:tc>
          <w:tcPr>
            <w:tcW w:w="11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间距（km）</w:t>
            </w:r>
          </w:p>
        </w:tc>
        <w:tc>
          <w:tcPr>
            <w:tcW w:w="6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地区等级</w:t>
            </w:r>
          </w:p>
        </w:tc>
        <w:tc>
          <w:tcPr>
            <w:tcW w:w="5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备注</w:t>
            </w:r>
          </w:p>
        </w:tc>
      </w:tr>
      <w:tr>
        <w:tblPrEx>
          <w:shd w:val="clear" w:color="auto" w:fill="auto"/>
          <w:tblCellMar>
            <w:top w:w="0" w:type="dxa"/>
            <w:left w:w="108" w:type="dxa"/>
            <w:bottom w:w="0" w:type="dxa"/>
            <w:right w:w="108" w:type="dxa"/>
          </w:tblCellMar>
        </w:tblPrEx>
        <w:trPr>
          <w:trHeight w:val="270" w:hRule="atLeast"/>
          <w:jc w:val="center"/>
        </w:trPr>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元坝首站</w:t>
            </w:r>
          </w:p>
        </w:tc>
        <w:tc>
          <w:tcPr>
            <w:tcW w:w="9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广元市苍溪县</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1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6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二级</w:t>
            </w:r>
          </w:p>
        </w:tc>
        <w:tc>
          <w:tcPr>
            <w:tcW w:w="5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原址扩建</w:t>
            </w:r>
          </w:p>
        </w:tc>
      </w:tr>
      <w:tr>
        <w:tblPrEx>
          <w:shd w:val="clear" w:color="auto" w:fill="auto"/>
          <w:tblCellMar>
            <w:top w:w="0" w:type="dxa"/>
            <w:left w:w="108" w:type="dxa"/>
            <w:bottom w:w="0" w:type="dxa"/>
            <w:right w:w="108" w:type="dxa"/>
          </w:tblCellMar>
        </w:tblPrEx>
        <w:trPr>
          <w:trHeight w:val="270" w:hRule="atLeast"/>
          <w:jc w:val="center"/>
        </w:trPr>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陵江清管站</w:t>
            </w:r>
          </w:p>
        </w:tc>
        <w:tc>
          <w:tcPr>
            <w:tcW w:w="9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广元市苍溪县</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14.6</w:t>
            </w:r>
          </w:p>
        </w:tc>
        <w:tc>
          <w:tcPr>
            <w:tcW w:w="11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14.6</w:t>
            </w:r>
          </w:p>
        </w:tc>
        <w:tc>
          <w:tcPr>
            <w:tcW w:w="6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二级</w:t>
            </w:r>
          </w:p>
        </w:tc>
        <w:tc>
          <w:tcPr>
            <w:tcW w:w="5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新建</w:t>
            </w:r>
          </w:p>
        </w:tc>
      </w:tr>
    </w:tbl>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2.5.2管道地面标识</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线路标志包括线路里程桩、标志桩和警示牌。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1) 里程桩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里程桩自 0km 起每公里设置 1 个，距离可就近适当调整，调整间距不宜大于 100m。阴极保护测试桩可以和里程桩结合设置。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2) 标志桩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转角桩：管道转弯处要设置转角桩，宜设置在转折管道中心线上方。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穿跨越桩：当管道穿越河流沟渠、高速、高等级公路时，在两侧设置穿跨越桩。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交叉桩：凡是与地下管道、电（光）缆交叉的位置，设置交叉桩。交叉桩上注明线路里程、交叉物名称、与交叉物的关系等。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结构桩：当管道外防腐层或管壁发生长距离变化时，在变化位置处设置结构桩，桩上要标明线路里程及变化前后的结构属性等。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加密桩：在管道正上方每100m 处设置一个加密桩</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3) 警示牌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管道穿越山谷、冲沟、临近水库及其泄洪区、水渠、自然与地质灾害点、爆破采石区域、工业建设地段、危险点(源)、第三方施工活动频繁区等地段时，应设置警示牌</w:t>
      </w:r>
    </w:p>
    <w:p>
      <w:pPr>
        <w:keepNext w:val="0"/>
        <w:keepLines w:val="0"/>
        <w:widowControl/>
        <w:numPr>
          <w:ilvl w:val="0"/>
          <w:numId w:val="3"/>
        </w:numPr>
        <w:suppressLineNumbers w:val="0"/>
        <w:ind w:left="0" w:leftChars="0" w:firstLine="480" w:firstLineChars="20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警示带</w:t>
      </w:r>
    </w:p>
    <w:p>
      <w:pPr>
        <w:keepNext w:val="0"/>
        <w:keepLines w:val="0"/>
        <w:widowControl/>
        <w:numPr>
          <w:ilvl w:val="0"/>
          <w:numId w:val="0"/>
        </w:numPr>
        <w:suppressLineNumbers w:val="0"/>
        <w:ind w:leftChars="20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警示带随管体回填埋入地下，位于管顶上方500mm。 </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2.5.3水工保持及水工保护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工程沿线地形、地貌复杂。管道施工将使自然状态下稳定或相对稳定的地貌产生变化，形成新的临空面，局部地段受水力、风力或重力因素影响，变得不稳定，可能对管线安全构成威胁，需要采取措施对管道加以保护。</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工程《可研》结合以往工程的成功经验，管道在穿越坡耕地时，采用在管沟内砌筑基础的堡坎措施。对施工破环的水渠进行及时恢复，可以有效的确保管道安全。堡坎主要形式包括浆砌石堡坎、干砌石堡坎、草袋码砌式堡坎等。</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2.5.4管道防腐</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2.5.4.1线路外防腐</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1、线路外防腐</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工程线路长约 </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，工程设计压力 10MPa，材质 L485M，管径 1016mm。拟采用站外埋地干线管道的外防腐采用三层PE 防腐层加阴极保护的联合保护方案。阴极保护采用强制电流方式，利用元坝首站已建阴极保护站。为检测管道阴极保护效果，同时在线路管道上设置多种类型的监检测装置。</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站内地面设备、管道采用涂装防腐涂料的方案防腐；站内埋地管道防腐采用以三层 PE加强级外防腐层为主的方式。对新建的陵江清管站站内埋地管道设备实施区域性阴极保护的防腐方案。</w:t>
      </w:r>
    </w:p>
    <w:p>
      <w:pPr>
        <w:keepNext w:val="0"/>
        <w:keepLines w:val="0"/>
        <w:widowControl/>
        <w:suppressLineNumbers w:val="0"/>
        <w:jc w:val="left"/>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2、弯管外防腐层</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1）冷弯管防腐层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冷弯管可用带三层 PE 防腐层的成品直管防腐管经冷弯机弯制而成，即冷弯管防腐层仍采用三层 PE 防腐层。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2）热煨弯管外防腐层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热煨弯管外防腐采用双层熔结环氧粉末方案。双层熔结环氧粉末外防腐层应由内、外两层环氧粉末一次喷涂成膜而构成，外防腐层厚度：内层厚度应≥300μm；外层厚度应≥500μm；总厚度应≥800μm。</w:t>
      </w:r>
    </w:p>
    <w:p>
      <w:pPr>
        <w:pStyle w:val="2"/>
        <w:jc w:val="both"/>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lang w:val="en-US" w:eastAsia="zh-CN"/>
        </w:rPr>
        <w:t>3、补口、补伤</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线路段管道补口均采用带环氧底漆的热熔胶型聚乙烯热收缩带。线路管道补口采用聚乙烯热收缩带，底漆干膜厚度不小于200μm；补口材料性能指标、施工工艺评定试验（PQT）、施工过程质量控制及检验、施工质量检验均应满足GB/T51241-2017的相关要求。补伤应按 GB/T23257-2017 的要求，根据破损点的大小采用相应的粘弹体材料加外护或热收缩带等方式。本工程干线管道补口推荐采用干膜安装、机械化补口施工方式。 </w:t>
      </w:r>
    </w:p>
    <w:p>
      <w:pPr>
        <w:keepNext w:val="0"/>
        <w:keepLines w:val="0"/>
        <w:widowControl/>
        <w:numPr>
          <w:ilvl w:val="0"/>
          <w:numId w:val="0"/>
        </w:numPr>
        <w:suppressLineNumbers w:val="0"/>
        <w:ind w:leftChars="200"/>
        <w:jc w:val="left"/>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lang w:val="en-US" w:eastAsia="zh-CN"/>
        </w:rPr>
        <w:t>4、定向钻防护层</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本工程有 1 处定向钻穿越（东河穿越），穿越长度 1300m，定向钻穿越段管道处于深埋水下环境，为不可维修段。本工程东河定向钻穿越推荐整体采用环氧玻璃钢防护层对防腐层进行保护。环氧玻璃钢涂层可在预制厂或现场缠绕涂覆于三层 PE 防腐层外，固化后与三层 PE 防腐层牢固粘接为整体结构，使穿越段管道形成“防腐层+保护层”的双层结构，为管道外防腐层提供优异的机械防护。环氧玻璃钢涂层在抗剪切强度、抗划伤性能和耐磨性能等方面均较好，且施工相对简便。</w:t>
      </w:r>
    </w:p>
    <w:p>
      <w:pPr>
        <w:keepNext w:val="0"/>
        <w:keepLines w:val="0"/>
        <w:widowControl/>
        <w:numPr>
          <w:ilvl w:val="0"/>
          <w:numId w:val="0"/>
        </w:numPr>
        <w:suppressLineNumbers w:val="0"/>
        <w:ind w:leftChars="200"/>
        <w:jc w:val="left"/>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2.5.4.2站场管道和设备防腐</w:t>
      </w:r>
    </w:p>
    <w:p>
      <w:pPr>
        <w:keepNext w:val="0"/>
        <w:keepLines w:val="0"/>
        <w:widowControl/>
        <w:numPr>
          <w:ilvl w:val="0"/>
          <w:numId w:val="0"/>
        </w:numPr>
        <w:suppressLineNumbers w:val="0"/>
        <w:ind w:leftChars="200"/>
        <w:jc w:val="left"/>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lang w:val="en-US" w:eastAsia="zh-CN"/>
        </w:rPr>
        <w:t>1、地面管道和设备防腐</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站内地面设备、管道采用涂装防腐涂料的方案防腐推荐的涂层结构和配套方案为：环氧富锌底漆（干膜厚度不低于 60μm）+环氧云铁中间漆（干膜厚度不低于 100μm）+氟碳面漆（干膜厚度不低于 80μm），涂层干膜总厚度应≥240μm，其性能指标应符合《石油天然气站场管道及设备外防腐层技术规范》（SY/T 7036-2016）的要求。 </w:t>
      </w:r>
    </w:p>
    <w:p>
      <w:pPr>
        <w:keepNext w:val="0"/>
        <w:keepLines w:val="0"/>
        <w:widowControl/>
        <w:suppressLineNumbers w:val="0"/>
        <w:jc w:val="left"/>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24"/>
          <w:szCs w:val="24"/>
          <w:lang w:val="en-US" w:eastAsia="zh-CN" w:bidi="ar"/>
        </w:rPr>
        <w:t>2</w:t>
      </w:r>
      <w:r>
        <w:rPr>
          <w:rFonts w:hint="default" w:ascii="Times New Roman" w:hAnsi="Times New Roman" w:eastAsia="宋体" w:cs="Times New Roman"/>
          <w:b w:val="0"/>
          <w:bCs w:val="0"/>
          <w:color w:val="auto"/>
          <w:kern w:val="0"/>
          <w:sz w:val="24"/>
          <w:szCs w:val="24"/>
          <w:lang w:val="en-US" w:eastAsia="zh-CN" w:bidi="ar"/>
        </w:rPr>
        <w:t xml:space="preserve">、埋地管道和设备外防腐层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 管径 DN≥100 且累计长度超过 200m 的埋地管道直管段全部采用三层 PE 常温型加强级外防腐层，补口采用热熔胶型聚乙烯热收缩带，底漆厚度不小于 200μm。三层 PE 防腐层的性能指标和施工及质量检验执行 GB/T23257-2017；聚乙烯热收缩带的性能指标和施工及质量检验执行 GB/T 51241-2017。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2）站内埋地弯管、管径 DN＜100的短、小口径管道均采用无溶剂液体环氧涂料再外缠绕聚丙烯胶带的复合结构防腐，无溶剂液体环氧涂料干膜厚度应≥600μm，聚丙烯胶粘带厚度应符合 SY/T0414 的相关要求，搭接宽度为带宽的 50%-55%。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3）埋地阀门、汇管、弯头及异构件，均采用粘弹体防腐胶带（带配套防腐膏）+聚丙烯胶粘带进行防腐，粘弹体胶带轴向搭接宽度不小于胶带宽度的 10%，且不小于 10mm。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4）站内立管出入土部位，从地下至地面以上 200mm 范围内采用相应埋地管道防腐层进行防腐，再在管道出入地面上下各 250mm 管段防腐层表面用铝箔缠带进行防护。站内埋地管道防腐材料性能指标及施工质量检验应符合 GB/T23257-2017 和 SY/T7036-2016 的要求。</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2.5.4.3线路阴极保护</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根据工程情况，元坝扩建站内已建有线路阴极保护站 1 座，保护元坝外输管道，本工程线路管道长度较短，所需电流较小，根据《工可》资料，所需阴极保护电流小于 0.5A，将中贵线与元坝-普光管道联通工程管道通过跨接纳入已建元坝线路阴极保护系统进行保护。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对采用各种方式（大开挖、顶管、定向钻）的带混凝土套管的公路和河流穿越段管道均纳入全线阴极保护系统，实施强制电流阴极保护。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2.5.4.4站场阴极保护</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本工程站内保护对象设施较多，范围较大，所需保护电流量大，土壤环境条件不适于采用牺牲阳极。为达到预期的保护效果，推荐采用强制电流阴极保护方式。</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2.5.4.5干扰防护</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管道与高压交流输电线路无长距离平行，仅在局部地区交叉，拟采取屏蔽故障防护措施，以缓解管道防腐层和管道本体遭受雷电或电力故障过电压强电冲击的影响，在强电冲击影响区，采取屏蔽线（锌带）对因强电冲击而形成的脉冲电弧进行屏蔽、排流以保护埋地管道，屏蔽线通过去耦合器与管道进行连接。</w:t>
      </w:r>
    </w:p>
    <w:p>
      <w:pPr>
        <w:pStyle w:val="5"/>
        <w:bidi w:val="0"/>
        <w:rPr>
          <w:rFonts w:hint="default" w:ascii="Times New Roman" w:hAnsi="Times New Roman" w:eastAsia="宋体" w:cs="Times New Roman"/>
          <w:color w:val="auto"/>
          <w:lang w:val="en-US" w:eastAsia="zh-CN"/>
        </w:rPr>
      </w:pPr>
      <w:bookmarkStart w:id="30" w:name="_Toc22397"/>
      <w:r>
        <w:rPr>
          <w:rFonts w:hint="default" w:ascii="Times New Roman" w:hAnsi="Times New Roman" w:eastAsia="宋体" w:cs="Times New Roman"/>
          <w:color w:val="auto"/>
          <w:lang w:val="en-US" w:eastAsia="zh-CN"/>
        </w:rPr>
        <w:t>2.6 输气站场</w:t>
      </w:r>
      <w:bookmarkEnd w:id="30"/>
    </w:p>
    <w:p>
      <w:pPr>
        <w:pStyle w:val="5"/>
        <w:bidi w:val="0"/>
        <w:rPr>
          <w:rFonts w:hint="default" w:ascii="Times New Roman" w:hAnsi="Times New Roman" w:eastAsia="宋体" w:cs="Times New Roman"/>
          <w:color w:val="auto"/>
          <w:sz w:val="24"/>
          <w:szCs w:val="28"/>
          <w:lang w:val="en-US" w:eastAsia="zh-CN"/>
        </w:rPr>
      </w:pPr>
      <w:bookmarkStart w:id="31" w:name="_Toc3965"/>
      <w:r>
        <w:rPr>
          <w:rFonts w:hint="default" w:ascii="Times New Roman" w:hAnsi="Times New Roman" w:eastAsia="宋体" w:cs="Times New Roman"/>
          <w:color w:val="auto"/>
          <w:sz w:val="24"/>
          <w:szCs w:val="28"/>
          <w:lang w:val="en-US" w:eastAsia="zh-CN"/>
        </w:rPr>
        <w:t>2.6.1站场设置</w:t>
      </w:r>
      <w:bookmarkEnd w:id="31"/>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根据相关标准规范，本工程线路及站场压力管道分类划分为 GA 类。根据管道线路推荐方案和输气工艺推荐方案，本工程共设置 2 座站场（一座扩建站、一座新建站）。元坝首站为扩建站场；陵江清管站为新建站场</w:t>
      </w:r>
      <w:r>
        <w:rPr>
          <w:rFonts w:hint="eastAsia"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 xml:space="preserve">无定员。 </w:t>
      </w:r>
    </w:p>
    <w:p>
      <w:pPr>
        <w:pStyle w:val="5"/>
        <w:bidi w:val="0"/>
        <w:jc w:val="center"/>
        <w:rPr>
          <w:rFonts w:hint="default" w:ascii="Times New Roman" w:hAnsi="Times New Roman" w:eastAsia="宋体" w:cs="Times New Roman"/>
          <w:color w:val="auto"/>
        </w:rPr>
      </w:pPr>
      <w:bookmarkStart w:id="32" w:name="_Toc929"/>
      <w:r>
        <w:rPr>
          <w:rFonts w:hint="default" w:ascii="Times New Roman" w:hAnsi="Times New Roman" w:eastAsia="宋体" w:cs="Times New Roman"/>
          <w:color w:val="auto"/>
          <w:sz w:val="24"/>
          <w:szCs w:val="28"/>
          <w:lang w:val="en-US" w:eastAsia="zh-CN"/>
        </w:rPr>
        <w:t>表2.6-1站场设置一览表</w:t>
      </w:r>
      <w:bookmarkEnd w:id="32"/>
    </w:p>
    <w:tbl>
      <w:tblPr>
        <w:tblStyle w:val="24"/>
        <w:tblW w:w="9045" w:type="dxa"/>
        <w:tblInd w:w="93" w:type="dxa"/>
        <w:shd w:val="clear" w:color="auto" w:fill="auto"/>
        <w:tblLayout w:type="autofit"/>
        <w:tblCellMar>
          <w:top w:w="0" w:type="dxa"/>
          <w:left w:w="108" w:type="dxa"/>
          <w:bottom w:w="0" w:type="dxa"/>
          <w:right w:w="108" w:type="dxa"/>
        </w:tblCellMar>
      </w:tblPr>
      <w:tblGrid>
        <w:gridCol w:w="1063"/>
        <w:gridCol w:w="1246"/>
        <w:gridCol w:w="2035"/>
        <w:gridCol w:w="1123"/>
        <w:gridCol w:w="2359"/>
        <w:gridCol w:w="1255"/>
      </w:tblGrid>
      <w:tr>
        <w:tblPrEx>
          <w:shd w:val="clear" w:color="auto" w:fill="auto"/>
          <w:tblCellMar>
            <w:top w:w="0" w:type="dxa"/>
            <w:left w:w="108" w:type="dxa"/>
            <w:bottom w:w="0" w:type="dxa"/>
            <w:right w:w="108" w:type="dxa"/>
          </w:tblCellMar>
        </w:tblPrEx>
        <w:trPr>
          <w:trHeight w:val="27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站场</w:t>
            </w:r>
          </w:p>
        </w:tc>
        <w:tc>
          <w:tcPr>
            <w:tcW w:w="20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所在区县</w:t>
            </w:r>
          </w:p>
        </w:tc>
        <w:tc>
          <w:tcPr>
            <w:tcW w:w="11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里程（km）</w:t>
            </w:r>
          </w:p>
        </w:tc>
        <w:tc>
          <w:tcPr>
            <w:tcW w:w="24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间距（km）</w:t>
            </w: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备注</w:t>
            </w:r>
          </w:p>
        </w:tc>
      </w:tr>
      <w:tr>
        <w:tblPrEx>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元坝首站</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广元市苍溪县</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原址扩建</w:t>
            </w:r>
          </w:p>
        </w:tc>
      </w:tr>
      <w:tr>
        <w:tblPrEx>
          <w:shd w:val="clear" w:color="auto" w:fill="auto"/>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陵江清管站</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广元市苍溪县</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14.</w:t>
            </w:r>
            <w:r>
              <w:rPr>
                <w:rFonts w:hint="eastAsia" w:ascii="Times New Roman" w:hAnsi="Times New Roman" w:cs="Times New Roman"/>
                <w:i w:val="0"/>
                <w:iCs w:val="0"/>
                <w:color w:val="auto"/>
                <w:kern w:val="0"/>
                <w:sz w:val="21"/>
                <w:szCs w:val="21"/>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14.</w:t>
            </w:r>
            <w:r>
              <w:rPr>
                <w:rFonts w:hint="eastAsia" w:ascii="Times New Roman" w:hAnsi="Times New Roman" w:cs="Times New Roman"/>
                <w:i w:val="0"/>
                <w:iCs w:val="0"/>
                <w:color w:val="auto"/>
                <w:kern w:val="0"/>
                <w:sz w:val="21"/>
                <w:szCs w:val="21"/>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新建</w:t>
            </w:r>
          </w:p>
        </w:tc>
      </w:tr>
    </w:tbl>
    <w:p>
      <w:pPr>
        <w:pStyle w:val="5"/>
        <w:bidi w:val="0"/>
        <w:rPr>
          <w:rFonts w:hint="default" w:ascii="Times New Roman" w:hAnsi="Times New Roman" w:eastAsia="宋体" w:cs="Times New Roman"/>
          <w:color w:val="auto"/>
          <w:sz w:val="24"/>
          <w:szCs w:val="28"/>
          <w:lang w:val="en-US" w:eastAsia="zh-CN"/>
        </w:rPr>
      </w:pPr>
      <w:bookmarkStart w:id="33" w:name="_Toc10556"/>
      <w:r>
        <w:rPr>
          <w:rFonts w:hint="default" w:ascii="Times New Roman" w:hAnsi="Times New Roman" w:eastAsia="宋体" w:cs="Times New Roman"/>
          <w:color w:val="auto"/>
          <w:sz w:val="24"/>
          <w:szCs w:val="28"/>
          <w:lang w:val="en-US" w:eastAsia="zh-CN"/>
        </w:rPr>
        <w:t>2.6.2 站场工艺</w:t>
      </w:r>
      <w:bookmarkEnd w:id="33"/>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2.6.2.1 元坝首站（扩建）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1、设计参数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1）正输流程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（1）设计压力：10.0MPa；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（2）设计输量：（1000~1430）×10</w:t>
      </w:r>
      <w:r>
        <w:rPr>
          <w:rFonts w:hint="default" w:ascii="Times New Roman" w:hAnsi="Times New Roman" w:eastAsia="宋体" w:cs="Times New Roman"/>
          <w:color w:val="auto"/>
          <w:kern w:val="0"/>
          <w:sz w:val="24"/>
          <w:szCs w:val="24"/>
          <w:vertAlign w:val="superscript"/>
          <w:lang w:val="en-US" w:eastAsia="zh-CN" w:bidi="ar"/>
        </w:rPr>
        <w:t>4</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 /d；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（3）操作压力：（8~9.8）MPa；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（4）操作温度：（17~45）℃。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2）反输流程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（1）设计压力：10.0MPa；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（2）设计输量：（1000~1430）×104m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 /d；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（3）操作压力：（8~9.8）MPa；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（4）操作温度：（17~45）℃。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 主要设计功能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1）已建部分主要设计功能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（1）接元坝净化厂来气，输往普光首站、德新末站、陆相；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（2）站内及上、下游事故时进出站天然气紧急切断；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（3）向普光首站、德新末站发送清管器/球；</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（4）天然气过滤；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（5）天然气增压；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（6）天然气越站；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（7）站场及干线天然气放空；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（8）设备检维修排污。 </w:t>
      </w:r>
    </w:p>
    <w:p>
      <w:pPr>
        <w:keepNext w:val="0"/>
        <w:keepLines w:val="0"/>
        <w:widowControl/>
        <w:suppressLineNumbers w:val="0"/>
        <w:ind w:firstLine="720" w:firstLineChars="30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1）扩建部分主要设计功能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（1）接收元坝首站增压后来气，输往陵江清管站；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（2）接收陵江清管站来气，输往德新末站、陆相；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（3）站场及下游管道事故时出站天然气紧急截断及放空（点火）；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（4）站场及干线检修时天然气放空（点火）。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3、工艺流程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正输流程：接收元坝首站来气，输往陵江清管站。 反输流程：接收陵江清管站来气，输往元坝外输站。站内设置清管器发送装置，可实现去陵江清管站的清管作业。 本站放空依托原站。元坝首站（扩建）工艺流程图详见 S2021007CSP001-A01#-EPR-DW-0001。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4、主要工艺设施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P10.5MPa DN1000 清管器发送装置一套</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2.6.2.2陵江清管站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1、设计参数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1）正输流程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（1）设计压力：10.0MPa；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（2）设计输量：进站输气量（1000~1430）×104m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 /d；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（3）操作压力：进站操作压力（8~9.8）MPa；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（4）操作温度：进站操作温度（16~45）℃。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2）反输流程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（1）设计压力：10.0MPa；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（2）设计输量：进站输气量（1000~1430）×104m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 /d；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（3）操作压力：进站操作压力（8~9.8）MPa；</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6）预留接口；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7）站场及干线检修时天然气放空（冷放空）；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8）设备检修排污。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3、工艺流程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正输流程：接收元坝首站（扩建）来气，输往中贵线。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反输流程：接收中贵线来气，输往元坝首站。 站内设置清管接收装置，可实现元坝首站（扩建）方向来的清管作业。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 主要工艺设施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P10MPa DN1000 清管器接收装置 1 套。 P10MPa DN400 卧式过滤分离器 2 台。 DN400 高 20m 自立式放空立管 1 座。</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2.6.2.3安全保障措施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1）站内压力、压差、流量、温度和阀位等数据信号纳入控制系统，可监控站场运行状态。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2）元坝首站（扩建）出站及陵江清管站进出站管线上设有紧急截断（ESD）阀，当站内或干线发生事故时自动关闭、切断气源，以实现事故状态下干线与站内工艺设施的隔离。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4）元坝首站（扩建）出站及陵江清管站进出站进出站均设有 ESD 放空系统，当站内出现事故时，立即自动关闭进站紧急截断阀，确认后打开 ESD 放空阀进行泄放，保证站内设施和人员安全。</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2.6.2.4放空、排污设施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1）手动放空</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元坝首站（扩建）、陵江清管站分别设有对干线管道的放空，在管道事故或检修时，可对干线管道内气体进行放空。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为方便设备的检修，站内分离器、收、发球筒等工艺设备及计量调压管路设有手动放空，在管道事故或检修时，可对管道内气体进行放空。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手动放空均采用双阀，前端为球阀，后端为具有节流截止功能的放空阀，便于维修与更换。可以通过调节放空阀的开度来控制放空时间与放空量，以减小放空时的气体流速，降低噪音。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2）ESD 紧急放空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元坝首站（扩建）、陵江清管站均设有 ESD 系统紧急放空，放空设双阀，前端为球阀，后端为带电动执行机构的球阀及限流孔板，可实现有控制的放空，避免露空管段震动过大，减少噪音。 根据 GB 50251 规定：紧急放空量按照在 15min 内将系统内压力从最初的压力降至设计压力的 50%进行设计。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4）排污设施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分离设备、汇气管和清管接收器上均设手动排污。手动排污采用双阀，前端为球阀，后端为阀套式排污阀，便于操作、维修与更换</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2.6.2.5工艺设备</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kern w:val="0"/>
          <w:sz w:val="24"/>
          <w:szCs w:val="24"/>
          <w:lang w:val="en-US" w:eastAsia="zh-CN" w:bidi="ar"/>
        </w:rPr>
        <w:t xml:space="preserve">清管装置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站场设置了清管接收及发送装置，可进行智能清管作业，对管道的腐蚀及管道壁厚进行检测，了解管线的使用状况及管道存在的缺陷隐患。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清管作业时不停输，接收/发送各种清管器和检测器。所带快开盲板应开闭灵活、方便，密封可靠无泄漏，且带有安全联锁保护装置</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2、过滤分离器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过滤分离器的主要功能是除去输送介质中携带的固相杂质，以保证管道及设备的正常运行。过滤分离器是依靠过滤元件的过滤作用将固体或液体分离出来，属于精细分离设备，具有过滤效率高，去除粒径小等优点，需定时更换滤芯，通常分输站应设置。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1）过滤分离器的分离效率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过滤分离器应能去除掉输送气体中夹带的固体颗粒、粉尘和液滴，要求其过滤效率（绝对过滤精度）为：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粉尘：≥1μm 99%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≥3μm 99.5%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≥5μm 99.8%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液滴：≥1μm 98% 要求过滤元件初始压降小于 0.01MPa，滤芯更换压降不大于 0.12MPa。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3、阀门</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1）线路截断阀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线路截断阀采用全通径全焊接埋地、带加长杆的气液联动球阀，可进行压降感测和压降速率关闭值的设定，在管道运行发生事故，压降速率超过设定值时能自动截断，待事故处理完后，人工复位。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2）站内球阀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站场内需进行流程切换的阀门或 DN400 及以上的阀门采用电动执行机构球阀，一般截断阀门和线路放空阀门采用手动球阀。本工程 DN400 及以上的站内阀门采用焊接连接，DN400以下的站内阀门采用法兰连接；与干线相连的球阀采用焊接连接。</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3）放空和排污阀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手动放空阀拟采用节流截止放空阀。节流截止放空阀具有节流与截止作用，节流部位与密封面分开，减小了气流对密封面的冲刷，密封面易于更换。排污阀拟采用密封性能好、使用寿命长、噪音小、耐冲刷的阀套式排污阀。 </w:t>
      </w:r>
    </w:p>
    <w:p>
      <w:pPr>
        <w:pStyle w:val="5"/>
        <w:bidi w:val="0"/>
        <w:jc w:val="center"/>
        <w:rPr>
          <w:rFonts w:hint="default" w:ascii="Times New Roman" w:hAnsi="Times New Roman" w:eastAsia="宋体" w:cs="Times New Roman"/>
          <w:color w:val="auto"/>
          <w:sz w:val="24"/>
          <w:szCs w:val="28"/>
          <w:lang w:val="en-US" w:eastAsia="zh-CN"/>
        </w:rPr>
      </w:pPr>
      <w:bookmarkStart w:id="34" w:name="_Toc28421"/>
      <w:r>
        <w:rPr>
          <w:rFonts w:hint="default" w:ascii="Times New Roman" w:hAnsi="Times New Roman" w:eastAsia="宋体" w:cs="Times New Roman"/>
          <w:color w:val="auto"/>
          <w:sz w:val="24"/>
          <w:szCs w:val="28"/>
          <w:lang w:val="en-US" w:eastAsia="zh-CN"/>
        </w:rPr>
        <w:t>2.6-2站场主要设备表</w:t>
      </w:r>
      <w:bookmarkEnd w:id="34"/>
    </w:p>
    <w:tbl>
      <w:tblPr>
        <w:tblStyle w:val="24"/>
        <w:tblW w:w="4996" w:type="pct"/>
        <w:jc w:val="center"/>
        <w:shd w:val="clear" w:color="auto" w:fill="auto"/>
        <w:tblLayout w:type="fixed"/>
        <w:tblCellMar>
          <w:top w:w="0" w:type="dxa"/>
          <w:left w:w="108" w:type="dxa"/>
          <w:bottom w:w="0" w:type="dxa"/>
          <w:right w:w="108" w:type="dxa"/>
        </w:tblCellMar>
      </w:tblPr>
      <w:tblGrid>
        <w:gridCol w:w="634"/>
        <w:gridCol w:w="1264"/>
        <w:gridCol w:w="2546"/>
        <w:gridCol w:w="1122"/>
        <w:gridCol w:w="917"/>
        <w:gridCol w:w="1267"/>
        <w:gridCol w:w="1417"/>
      </w:tblGrid>
      <w:tr>
        <w:tblPrEx>
          <w:shd w:val="clear" w:color="auto" w:fill="auto"/>
          <w:tblCellMar>
            <w:top w:w="0" w:type="dxa"/>
            <w:left w:w="108" w:type="dxa"/>
            <w:bottom w:w="0" w:type="dxa"/>
            <w:right w:w="108" w:type="dxa"/>
          </w:tblCellMar>
        </w:tblPrEx>
        <w:trPr>
          <w:trHeight w:val="270" w:hRule="atLeast"/>
          <w:jc w:val="center"/>
        </w:trPr>
        <w:tc>
          <w:tcPr>
            <w:tcW w:w="3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6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项目名称</w:t>
            </w: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规格参数</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单位</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元坝首站</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陵江清管站</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备注</w:t>
            </w:r>
          </w:p>
        </w:tc>
      </w:tr>
      <w:tr>
        <w:tblPrEx>
          <w:shd w:val="clear" w:color="auto" w:fill="auto"/>
          <w:tblCellMar>
            <w:top w:w="0" w:type="dxa"/>
            <w:left w:w="108" w:type="dxa"/>
            <w:bottom w:w="0" w:type="dxa"/>
            <w:right w:w="108" w:type="dxa"/>
          </w:tblCellMar>
        </w:tblPrEx>
        <w:trPr>
          <w:trHeight w:val="300" w:hRule="atLeast"/>
          <w:jc w:val="center"/>
        </w:trPr>
        <w:tc>
          <w:tcPr>
            <w:tcW w:w="3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4654" w:type="pct"/>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非标准设备</w:t>
            </w:r>
          </w:p>
        </w:tc>
      </w:tr>
      <w:tr>
        <w:tblPrEx>
          <w:shd w:val="clear" w:color="auto" w:fill="auto"/>
          <w:tblCellMar>
            <w:top w:w="0" w:type="dxa"/>
            <w:left w:w="108" w:type="dxa"/>
            <w:bottom w:w="0" w:type="dxa"/>
            <w:right w:w="108" w:type="dxa"/>
          </w:tblCellMar>
        </w:tblPrEx>
        <w:trPr>
          <w:trHeight w:val="1110" w:hRule="atLeast"/>
          <w:jc w:val="center"/>
        </w:trPr>
        <w:tc>
          <w:tcPr>
            <w:tcW w:w="3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w:t>
            </w:r>
          </w:p>
        </w:tc>
        <w:tc>
          <w:tcPr>
            <w:tcW w:w="68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清管发送装置</w:t>
            </w:r>
          </w:p>
        </w:tc>
        <w:tc>
          <w:tcPr>
            <w:tcW w:w="13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P10MPa DN1000/DN1100×9000</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台</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7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含发球器、清管球等一套附件</w:t>
            </w:r>
          </w:p>
        </w:tc>
      </w:tr>
      <w:tr>
        <w:tblPrEx>
          <w:shd w:val="clear" w:color="auto" w:fill="auto"/>
          <w:tblCellMar>
            <w:top w:w="0" w:type="dxa"/>
            <w:left w:w="108" w:type="dxa"/>
            <w:bottom w:w="0" w:type="dxa"/>
            <w:right w:w="108" w:type="dxa"/>
          </w:tblCellMar>
        </w:tblPrEx>
        <w:trPr>
          <w:trHeight w:val="900" w:hRule="atLeast"/>
          <w:jc w:val="center"/>
        </w:trPr>
        <w:tc>
          <w:tcPr>
            <w:tcW w:w="3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68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清管接收装置</w:t>
            </w:r>
          </w:p>
        </w:tc>
        <w:tc>
          <w:tcPr>
            <w:tcW w:w="13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P10MPa DN1000/DN1100×14700</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台</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7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含接收器等一套附件</w:t>
            </w:r>
          </w:p>
        </w:tc>
      </w:tr>
      <w:tr>
        <w:tblPrEx>
          <w:shd w:val="clear" w:color="auto" w:fill="auto"/>
          <w:tblCellMar>
            <w:top w:w="0" w:type="dxa"/>
            <w:left w:w="108" w:type="dxa"/>
            <w:bottom w:w="0" w:type="dxa"/>
            <w:right w:w="108" w:type="dxa"/>
          </w:tblCellMar>
        </w:tblPrEx>
        <w:trPr>
          <w:trHeight w:val="840" w:hRule="atLeast"/>
          <w:jc w:val="center"/>
        </w:trPr>
        <w:tc>
          <w:tcPr>
            <w:tcW w:w="3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68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卧式过滤分离器</w:t>
            </w:r>
          </w:p>
        </w:tc>
        <w:tc>
          <w:tcPr>
            <w:tcW w:w="13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P10MPa DN1400×3500（切）</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台</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一用一备</w:t>
            </w:r>
          </w:p>
        </w:tc>
      </w:tr>
      <w:tr>
        <w:tblPrEx>
          <w:shd w:val="clear" w:color="auto" w:fill="auto"/>
          <w:tblCellMar>
            <w:top w:w="0" w:type="dxa"/>
            <w:left w:w="108" w:type="dxa"/>
            <w:bottom w:w="0" w:type="dxa"/>
            <w:right w:w="108" w:type="dxa"/>
          </w:tblCellMar>
        </w:tblPrEx>
        <w:trPr>
          <w:trHeight w:val="300" w:hRule="atLeast"/>
          <w:jc w:val="center"/>
        </w:trPr>
        <w:tc>
          <w:tcPr>
            <w:tcW w:w="3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6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放空立管</w:t>
            </w: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DN400×20000</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台</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300" w:hRule="atLeast"/>
          <w:jc w:val="center"/>
        </w:trPr>
        <w:tc>
          <w:tcPr>
            <w:tcW w:w="3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4654" w:type="pct"/>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标准设备</w:t>
            </w:r>
          </w:p>
        </w:tc>
      </w:tr>
      <w:tr>
        <w:tblPrEx>
          <w:shd w:val="clear" w:color="auto" w:fill="auto"/>
          <w:tblCellMar>
            <w:top w:w="0" w:type="dxa"/>
            <w:left w:w="108" w:type="dxa"/>
            <w:bottom w:w="0" w:type="dxa"/>
            <w:right w:w="108" w:type="dxa"/>
          </w:tblCellMar>
        </w:tblPrEx>
        <w:trPr>
          <w:trHeight w:val="300" w:hRule="atLeast"/>
          <w:jc w:val="center"/>
        </w:trPr>
        <w:tc>
          <w:tcPr>
            <w:tcW w:w="34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2.1</w:t>
            </w:r>
          </w:p>
        </w:tc>
        <w:tc>
          <w:tcPr>
            <w:tcW w:w="6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手动球阀</w:t>
            </w: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Class600 16”</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套</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300" w:hRule="atLeast"/>
          <w:jc w:val="center"/>
        </w:trPr>
        <w:tc>
          <w:tcPr>
            <w:tcW w:w="3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Class600 12”</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套</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300" w:hRule="atLeast"/>
          <w:jc w:val="center"/>
        </w:trPr>
        <w:tc>
          <w:tcPr>
            <w:tcW w:w="3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Class600 4”</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套</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300" w:hRule="atLeast"/>
          <w:jc w:val="center"/>
        </w:trPr>
        <w:tc>
          <w:tcPr>
            <w:tcW w:w="3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Class600 2”</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套</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300" w:hRule="atLeast"/>
          <w:jc w:val="center"/>
        </w:trPr>
        <w:tc>
          <w:tcPr>
            <w:tcW w:w="34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w:t>
            </w:r>
          </w:p>
        </w:tc>
        <w:tc>
          <w:tcPr>
            <w:tcW w:w="6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节流截止放空阀</w:t>
            </w: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Class600 12”</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套</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300" w:hRule="atLeast"/>
          <w:jc w:val="center"/>
        </w:trPr>
        <w:tc>
          <w:tcPr>
            <w:tcW w:w="3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Class600 4”</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套</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300" w:hRule="atLeast"/>
          <w:jc w:val="center"/>
        </w:trPr>
        <w:tc>
          <w:tcPr>
            <w:tcW w:w="3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Class600 2”</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套</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300" w:hRule="atLeast"/>
          <w:jc w:val="center"/>
        </w:trPr>
        <w:tc>
          <w:tcPr>
            <w:tcW w:w="34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w:t>
            </w:r>
          </w:p>
        </w:tc>
        <w:tc>
          <w:tcPr>
            <w:tcW w:w="6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阀套式排污阀</w:t>
            </w: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Class600 4”</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套</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300" w:hRule="atLeast"/>
          <w:jc w:val="center"/>
        </w:trPr>
        <w:tc>
          <w:tcPr>
            <w:tcW w:w="3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Class600 2”</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套</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300" w:hRule="atLeast"/>
          <w:jc w:val="center"/>
        </w:trPr>
        <w:tc>
          <w:tcPr>
            <w:tcW w:w="3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w:t>
            </w:r>
          </w:p>
        </w:tc>
        <w:tc>
          <w:tcPr>
            <w:tcW w:w="6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限流孔板</w:t>
            </w: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Class600 4”</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套</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300" w:hRule="atLeast"/>
          <w:jc w:val="center"/>
        </w:trPr>
        <w:tc>
          <w:tcPr>
            <w:tcW w:w="3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4654" w:type="pct"/>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管材、管件</w:t>
            </w:r>
          </w:p>
        </w:tc>
      </w:tr>
      <w:tr>
        <w:tblPrEx>
          <w:shd w:val="clear" w:color="auto" w:fill="auto"/>
          <w:tblCellMar>
            <w:top w:w="0" w:type="dxa"/>
            <w:left w:w="108" w:type="dxa"/>
            <w:bottom w:w="0" w:type="dxa"/>
            <w:right w:w="108" w:type="dxa"/>
          </w:tblCellMar>
        </w:tblPrEx>
        <w:trPr>
          <w:trHeight w:val="300" w:hRule="atLeast"/>
          <w:jc w:val="center"/>
        </w:trPr>
        <w:tc>
          <w:tcPr>
            <w:tcW w:w="34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3.1</w:t>
            </w:r>
          </w:p>
        </w:tc>
        <w:tc>
          <w:tcPr>
            <w:tcW w:w="68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直缝埋弧焊钢管</w:t>
            </w: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D1016×26.2 L485M</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300" w:hRule="atLeast"/>
          <w:jc w:val="center"/>
        </w:trPr>
        <w:tc>
          <w:tcPr>
            <w:tcW w:w="3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8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D813×21 L485M</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60</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shd w:val="clear" w:color="auto" w:fill="auto"/>
          <w:tblCellMar>
            <w:top w:w="0" w:type="dxa"/>
            <w:left w:w="108" w:type="dxa"/>
            <w:bottom w:w="0" w:type="dxa"/>
            <w:right w:w="108" w:type="dxa"/>
          </w:tblCellMar>
        </w:tblPrEx>
        <w:trPr>
          <w:trHeight w:val="300" w:hRule="atLeast"/>
          <w:jc w:val="center"/>
        </w:trPr>
        <w:tc>
          <w:tcPr>
            <w:tcW w:w="34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6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无缝钢管</w:t>
            </w: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D406.4×16 L360N</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CellMar>
            <w:top w:w="0" w:type="dxa"/>
            <w:left w:w="108" w:type="dxa"/>
            <w:bottom w:w="0" w:type="dxa"/>
            <w:right w:w="108" w:type="dxa"/>
          </w:tblCellMar>
        </w:tblPrEx>
        <w:trPr>
          <w:trHeight w:val="300" w:hRule="atLeast"/>
          <w:jc w:val="center"/>
        </w:trPr>
        <w:tc>
          <w:tcPr>
            <w:tcW w:w="3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D323.9×12.5 L360N</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40</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40</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CellMar>
            <w:top w:w="0" w:type="dxa"/>
            <w:left w:w="108" w:type="dxa"/>
            <w:bottom w:w="0" w:type="dxa"/>
            <w:right w:w="108" w:type="dxa"/>
          </w:tblCellMar>
        </w:tblPrEx>
        <w:trPr>
          <w:trHeight w:val="300" w:hRule="atLeast"/>
          <w:jc w:val="center"/>
        </w:trPr>
        <w:tc>
          <w:tcPr>
            <w:tcW w:w="3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D114.3×6.3 L245N</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80</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CellMar>
            <w:top w:w="0" w:type="dxa"/>
            <w:left w:w="108" w:type="dxa"/>
            <w:bottom w:w="0" w:type="dxa"/>
            <w:right w:w="108" w:type="dxa"/>
          </w:tblCellMar>
        </w:tblPrEx>
        <w:trPr>
          <w:trHeight w:val="300" w:hRule="atLeast"/>
          <w:jc w:val="center"/>
        </w:trPr>
        <w:tc>
          <w:tcPr>
            <w:tcW w:w="3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D60.3×5 L245N</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w:t>
            </w:r>
          </w:p>
        </w:tc>
        <w:tc>
          <w:tcPr>
            <w:tcW w:w="6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w:t>
            </w:r>
          </w:p>
        </w:tc>
        <w:tc>
          <w:tcPr>
            <w:tcW w:w="7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bl>
    <w:p>
      <w:pPr>
        <w:pStyle w:val="5"/>
        <w:bidi w:val="0"/>
        <w:rPr>
          <w:rFonts w:hint="default" w:ascii="Times New Roman" w:hAnsi="Times New Roman" w:eastAsia="宋体" w:cs="Times New Roman"/>
          <w:color w:val="auto"/>
          <w:lang w:val="en-US" w:eastAsia="zh-CN"/>
        </w:rPr>
      </w:pPr>
      <w:bookmarkStart w:id="35" w:name="_Toc974"/>
      <w:r>
        <w:rPr>
          <w:rFonts w:hint="default" w:ascii="Times New Roman" w:hAnsi="Times New Roman" w:eastAsia="宋体" w:cs="Times New Roman"/>
          <w:color w:val="auto"/>
          <w:lang w:val="en-US" w:eastAsia="zh-CN"/>
        </w:rPr>
        <w:t>2.7公用工程</w:t>
      </w:r>
      <w:bookmarkEnd w:id="35"/>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sz w:val="24"/>
          <w:szCs w:val="24"/>
          <w:lang w:val="en-US" w:eastAsia="zh-CN"/>
        </w:rPr>
        <w:t>2.7.1</w:t>
      </w:r>
      <w:r>
        <w:rPr>
          <w:rFonts w:hint="default" w:ascii="Times New Roman" w:hAnsi="Times New Roman" w:eastAsia="宋体" w:cs="Times New Roman"/>
          <w:b/>
          <w:bCs/>
          <w:color w:val="auto"/>
          <w:kern w:val="0"/>
          <w:sz w:val="24"/>
          <w:szCs w:val="24"/>
          <w:lang w:val="en-US" w:eastAsia="zh-CN" w:bidi="ar"/>
        </w:rPr>
        <w:t xml:space="preserve">总图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本工程总图设计内容包括：新建陵江清管站 1 座，元坝首站 1 座（扩建），在元坝净化厂内出站阀组区内新建一座收发球装置。根据《石油天然气工程设计防火规范》GB50183-2004 条文 3.2.3 的规定，陵江清管站为五级站</w:t>
      </w:r>
      <w:r>
        <w:rPr>
          <w:rFonts w:hint="eastAsia" w:ascii="Times New Roman" w:hAnsi="Times New Roman" w:cs="Times New Roman"/>
          <w:color w:val="auto"/>
          <w:kern w:val="0"/>
          <w:sz w:val="24"/>
          <w:szCs w:val="24"/>
          <w:lang w:val="en-US" w:eastAsia="zh-CN" w:bidi="ar"/>
        </w:rPr>
        <w:t>。</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1）陵江清管站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站内布置综合用房、生活污水集水池、高架水箱、装置区等。站场总平面布置按照站场建筑及总图标准图集管道篇执行，站场分为办公区和生产区，中间采用铁艺围栏分隔开。办公区布置综合用房、生活污水集水池、高架水箱，将综合用房靠近主出入口布置，非出入口侧布置生活污水集水池、高架水箱；生产区布置工艺装置区。站内设置混凝土车行道、人行道方便日常运行管理，工艺装置区设置环形车行道，满足检修车辆和消防车进场、调头要求。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站场设置一处大门，两处小门，满足人员日常进出和紧急状况下快速撤离的要求。站场四周设置 2.5m 高实体围墙，上加设 0.5m 高防翻越刺丝，满足防恐等相关要求。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站场雨水通过排水沟收集，排入就近的自然沟渠。站场放空区选址在距离站场 40m 外，地势较高处，位于站场最小频率风向的上风向。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2）元坝首站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在元坝净化厂内出站阀组区内空地新建一座收发球装置。站内车行道利用现有车行道，无新建车行道，考虑部分整修部分装置区铺装工程量。竖向设计与已建部分保持一致，场地雨水通过场地坡度汇入已建排水系统。</w:t>
      </w:r>
    </w:p>
    <w:p>
      <w:pPr>
        <w:keepNext w:val="0"/>
        <w:keepLines w:val="0"/>
        <w:widowControl/>
        <w:suppressLineNumbers w:val="0"/>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表2.7-1陵江清管站总图主要工程量一览</w:t>
      </w:r>
    </w:p>
    <w:tbl>
      <w:tblPr>
        <w:tblStyle w:val="24"/>
        <w:tblW w:w="4996" w:type="pct"/>
        <w:tblInd w:w="0" w:type="dxa"/>
        <w:shd w:val="clear" w:color="auto" w:fill="auto"/>
        <w:tblLayout w:type="autofit"/>
        <w:tblCellMar>
          <w:top w:w="0" w:type="dxa"/>
          <w:left w:w="108" w:type="dxa"/>
          <w:bottom w:w="0" w:type="dxa"/>
          <w:right w:w="108" w:type="dxa"/>
        </w:tblCellMar>
      </w:tblPr>
      <w:tblGrid>
        <w:gridCol w:w="940"/>
        <w:gridCol w:w="1218"/>
        <w:gridCol w:w="1242"/>
        <w:gridCol w:w="1308"/>
        <w:gridCol w:w="4459"/>
      </w:tblGrid>
      <w:tr>
        <w:tblPrEx>
          <w:shd w:val="clear" w:color="auto" w:fill="auto"/>
          <w:tblCellMar>
            <w:top w:w="0" w:type="dxa"/>
            <w:left w:w="108" w:type="dxa"/>
            <w:bottom w:w="0" w:type="dxa"/>
            <w:right w:w="108" w:type="dxa"/>
          </w:tblCellMar>
        </w:tblPrEx>
        <w:trPr>
          <w:trHeight w:val="270"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项目名称</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单位</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数量</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备注</w:t>
            </w:r>
          </w:p>
        </w:tc>
      </w:tr>
      <w:tr>
        <w:tblPrEx>
          <w:shd w:val="clear" w:color="auto" w:fill="auto"/>
          <w:tblCellMar>
            <w:top w:w="0" w:type="dxa"/>
            <w:left w:w="108" w:type="dxa"/>
            <w:bottom w:w="0" w:type="dxa"/>
            <w:right w:w="108" w:type="dxa"/>
          </w:tblCellMar>
        </w:tblPrEx>
        <w:trPr>
          <w:trHeight w:val="486"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厂区用地面积</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10000</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约合 15.00 亩</w:t>
            </w:r>
          </w:p>
        </w:tc>
      </w:tr>
      <w:tr>
        <w:tblPrEx>
          <w:shd w:val="clear" w:color="auto" w:fill="auto"/>
          <w:tblCellMar>
            <w:top w:w="0" w:type="dxa"/>
            <w:left w:w="108" w:type="dxa"/>
            <w:bottom w:w="0" w:type="dxa"/>
            <w:right w:w="108" w:type="dxa"/>
          </w:tblCellMar>
        </w:tblPrEx>
        <w:trPr>
          <w:trHeight w:val="850"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车行道路及装车场地</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2200</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1）240mm 厚 C30 现浇砼面层；</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2）30mm 厚粗砂层；</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3）200 厚碎石碾压密实；</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4）路基碾压密实，压实系数不小于 0.95</w:t>
            </w:r>
          </w:p>
        </w:tc>
      </w:tr>
      <w:tr>
        <w:tblPrEx>
          <w:shd w:val="clear" w:color="auto" w:fill="auto"/>
          <w:tblCellMar>
            <w:top w:w="0" w:type="dxa"/>
            <w:left w:w="108" w:type="dxa"/>
            <w:bottom w:w="0" w:type="dxa"/>
            <w:right w:w="108" w:type="dxa"/>
          </w:tblCellMar>
        </w:tblPrEx>
        <w:trPr>
          <w:trHeight w:val="1200"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道牙</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1100</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1）1000</w:t>
            </w:r>
            <w:r>
              <w:rPr>
                <w:rFonts w:hint="eastAsia"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350×150mm C25 预制砼块；</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2）M5 水泥砂浆勾缝。</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3）刷防腐涂料</w:t>
            </w:r>
          </w:p>
        </w:tc>
      </w:tr>
      <w:tr>
        <w:tblPrEx>
          <w:shd w:val="clear" w:color="auto" w:fill="auto"/>
          <w:tblCellMar>
            <w:top w:w="0" w:type="dxa"/>
            <w:left w:w="108" w:type="dxa"/>
            <w:bottom w:w="0" w:type="dxa"/>
            <w:right w:w="108" w:type="dxa"/>
          </w:tblCellMar>
        </w:tblPrEx>
        <w:trPr>
          <w:trHeight w:val="1217"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人行道</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80</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1）50mm 厚透水方砖；</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2）30mm 厚粗砂垫层；</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3）200mm 厚碎石碾压密实；</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4）基层碾压密实，压实系数不小于 0.95</w:t>
            </w:r>
          </w:p>
        </w:tc>
      </w:tr>
      <w:tr>
        <w:tblPrEx>
          <w:shd w:val="clear" w:color="auto" w:fill="auto"/>
          <w:tblCellMar>
            <w:top w:w="0" w:type="dxa"/>
            <w:left w:w="108" w:type="dxa"/>
            <w:bottom w:w="0" w:type="dxa"/>
            <w:right w:w="108" w:type="dxa"/>
          </w:tblCellMar>
        </w:tblPrEx>
        <w:trPr>
          <w:trHeight w:val="822"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碎石铺装</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2300</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1）100mm 厚碎石碾压密实；</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2）路基碾压密实，压实系数不小于 0.95。</w:t>
            </w:r>
          </w:p>
        </w:tc>
      </w:tr>
      <w:tr>
        <w:tblPrEx>
          <w:shd w:val="clear" w:color="auto" w:fill="auto"/>
          <w:tblCellMar>
            <w:top w:w="0" w:type="dxa"/>
            <w:left w:w="108" w:type="dxa"/>
            <w:bottom w:w="0" w:type="dxa"/>
            <w:right w:w="108" w:type="dxa"/>
          </w:tblCellMar>
        </w:tblPrEx>
        <w:trPr>
          <w:trHeight w:val="1503"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装置区铺装</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2800</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1）150mm 厚 C25 混凝土现浇；</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2）30mm 厚粗砂垫层；</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3）100mm 厚碎石碾压密实；</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4）路基碾压密实，压实系数不小于 0.95。</w:t>
            </w:r>
          </w:p>
        </w:tc>
      </w:tr>
      <w:tr>
        <w:tblPrEx>
          <w:shd w:val="clear" w:color="auto" w:fill="auto"/>
          <w:tblCellMar>
            <w:top w:w="0" w:type="dxa"/>
            <w:left w:w="108" w:type="dxa"/>
            <w:bottom w:w="0" w:type="dxa"/>
            <w:right w:w="108" w:type="dxa"/>
          </w:tblCellMar>
        </w:tblPrEx>
        <w:trPr>
          <w:trHeight w:val="1013"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铁艺围墙</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60</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after="220" w:afterAutospacing="0"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围墙高 2.5m，铁艺下方 M5 水泥砂浆 MU7.5 砖砌墙厚 24cm， 高 60cm，基础埋深 80cm</w:t>
            </w:r>
          </w:p>
        </w:tc>
      </w:tr>
      <w:tr>
        <w:tblPrEx>
          <w:shd w:val="clear" w:color="auto" w:fill="auto"/>
          <w:tblCellMar>
            <w:top w:w="0" w:type="dxa"/>
            <w:left w:w="108" w:type="dxa"/>
            <w:bottom w:w="0" w:type="dxa"/>
            <w:right w:w="108" w:type="dxa"/>
          </w:tblCellMar>
        </w:tblPrEx>
        <w:trPr>
          <w:trHeight w:val="900"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实体围墙</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360</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围墙高 2.5m，M5 水泥砂浆 MU7.5 砖砌墙厚 24cm，基础 80cm</w:t>
            </w:r>
          </w:p>
        </w:tc>
      </w:tr>
      <w:tr>
        <w:tblPrEx>
          <w:shd w:val="clear" w:color="auto" w:fill="auto"/>
          <w:tblCellMar>
            <w:top w:w="0" w:type="dxa"/>
            <w:left w:w="108" w:type="dxa"/>
            <w:bottom w:w="0" w:type="dxa"/>
            <w:right w:w="108" w:type="dxa"/>
          </w:tblCellMar>
        </w:tblPrEx>
        <w:trPr>
          <w:trHeight w:val="997"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电缆沟</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沟宽 1.0m，沟深 0.8m，C30 素混凝土，壁厚 300mm，盖板采</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用 150mm 厚 C25 钢筋混凝土盖板。</w:t>
            </w:r>
          </w:p>
        </w:tc>
      </w:tr>
      <w:tr>
        <w:tblPrEx>
          <w:tblCellMar>
            <w:top w:w="0" w:type="dxa"/>
            <w:left w:w="108" w:type="dxa"/>
            <w:bottom w:w="0" w:type="dxa"/>
            <w:right w:w="108" w:type="dxa"/>
          </w:tblCellMar>
        </w:tblPrEx>
        <w:trPr>
          <w:trHeight w:val="300"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型钢大门</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樘</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宽度 4m，高度 2.5m</w:t>
            </w:r>
          </w:p>
        </w:tc>
      </w:tr>
      <w:tr>
        <w:tblPrEx>
          <w:tblCellMar>
            <w:top w:w="0" w:type="dxa"/>
            <w:left w:w="108" w:type="dxa"/>
            <w:bottom w:w="0" w:type="dxa"/>
            <w:right w:w="108" w:type="dxa"/>
          </w:tblCellMar>
        </w:tblPrEx>
        <w:trPr>
          <w:trHeight w:val="300"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型钢大门</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樘</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宽度 2m，高度 2.5m</w:t>
            </w:r>
          </w:p>
        </w:tc>
      </w:tr>
      <w:tr>
        <w:tblPrEx>
          <w:shd w:val="clear" w:color="auto" w:fill="auto"/>
          <w:tblCellMar>
            <w:top w:w="0" w:type="dxa"/>
            <w:left w:w="108" w:type="dxa"/>
            <w:bottom w:w="0" w:type="dxa"/>
            <w:right w:w="108" w:type="dxa"/>
          </w:tblCellMar>
        </w:tblPrEx>
        <w:trPr>
          <w:trHeight w:val="300"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逃生门</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座</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宽 1m，高度 2m</w:t>
            </w:r>
          </w:p>
        </w:tc>
      </w:tr>
      <w:tr>
        <w:tblPrEx>
          <w:tblCellMar>
            <w:top w:w="0" w:type="dxa"/>
            <w:left w:w="108" w:type="dxa"/>
            <w:bottom w:w="0" w:type="dxa"/>
            <w:right w:w="108" w:type="dxa"/>
          </w:tblCellMar>
        </w:tblPrEx>
        <w:trPr>
          <w:trHeight w:val="860"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排水沟</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C25 现浇混凝土沟（沟宽 0.4m，深 0.3m）</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沟盖板采用：10T 树脂复合篦子（灰色）</w:t>
            </w:r>
          </w:p>
        </w:tc>
      </w:tr>
      <w:tr>
        <w:tblPrEx>
          <w:tblCellMar>
            <w:top w:w="0" w:type="dxa"/>
            <w:left w:w="108" w:type="dxa"/>
            <w:bottom w:w="0" w:type="dxa"/>
            <w:right w:w="108" w:type="dxa"/>
          </w:tblCellMar>
        </w:tblPrEx>
        <w:trPr>
          <w:trHeight w:val="300"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排水沟</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400</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明沟</w:t>
            </w:r>
          </w:p>
        </w:tc>
      </w:tr>
      <w:tr>
        <w:tblPrEx>
          <w:tblCellMar>
            <w:top w:w="0" w:type="dxa"/>
            <w:left w:w="108" w:type="dxa"/>
            <w:bottom w:w="0" w:type="dxa"/>
            <w:right w:w="108" w:type="dxa"/>
          </w:tblCellMar>
        </w:tblPrEx>
        <w:trPr>
          <w:trHeight w:val="300"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平整场地</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m2</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10000</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w:t>
            </w:r>
          </w:p>
        </w:tc>
      </w:tr>
      <w:tr>
        <w:tblPrEx>
          <w:tblCellMar>
            <w:top w:w="0" w:type="dxa"/>
            <w:left w:w="108" w:type="dxa"/>
            <w:bottom w:w="0" w:type="dxa"/>
            <w:right w:w="108" w:type="dxa"/>
          </w:tblCellMar>
        </w:tblPrEx>
        <w:trPr>
          <w:trHeight w:val="402"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绿化面积</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1000</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植草</w:t>
            </w:r>
          </w:p>
        </w:tc>
      </w:tr>
      <w:tr>
        <w:tblPrEx>
          <w:tblCellMar>
            <w:top w:w="0" w:type="dxa"/>
            <w:left w:w="108" w:type="dxa"/>
            <w:bottom w:w="0" w:type="dxa"/>
            <w:right w:w="108" w:type="dxa"/>
          </w:tblCellMar>
        </w:tblPrEx>
        <w:trPr>
          <w:trHeight w:val="300"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挖方量</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15000</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w:t>
            </w:r>
          </w:p>
        </w:tc>
      </w:tr>
      <w:tr>
        <w:tblPrEx>
          <w:shd w:val="clear" w:color="auto" w:fill="auto"/>
          <w:tblCellMar>
            <w:top w:w="0" w:type="dxa"/>
            <w:left w:w="108" w:type="dxa"/>
            <w:bottom w:w="0" w:type="dxa"/>
            <w:right w:w="108" w:type="dxa"/>
          </w:tblCellMar>
        </w:tblPrEx>
        <w:trPr>
          <w:trHeight w:val="300"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填方量</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15000</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w:t>
            </w:r>
          </w:p>
        </w:tc>
      </w:tr>
      <w:tr>
        <w:tblPrEx>
          <w:shd w:val="clear" w:color="auto" w:fill="auto"/>
          <w:tblCellMar>
            <w:top w:w="0" w:type="dxa"/>
            <w:left w:w="108" w:type="dxa"/>
            <w:bottom w:w="0" w:type="dxa"/>
            <w:right w:w="108" w:type="dxa"/>
          </w:tblCellMar>
        </w:tblPrEx>
        <w:trPr>
          <w:trHeight w:val="300"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风向标</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座</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w:t>
            </w:r>
          </w:p>
        </w:tc>
      </w:tr>
      <w:tr>
        <w:tblPrEx>
          <w:shd w:val="clear" w:color="auto" w:fill="auto"/>
          <w:tblCellMar>
            <w:top w:w="0" w:type="dxa"/>
            <w:left w:w="108" w:type="dxa"/>
            <w:bottom w:w="0" w:type="dxa"/>
            <w:right w:w="108" w:type="dxa"/>
          </w:tblCellMar>
        </w:tblPrEx>
        <w:trPr>
          <w:trHeight w:val="450"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天然气线路改线</w:t>
            </w:r>
          </w:p>
        </w:tc>
        <w:tc>
          <w:tcPr>
            <w:tcW w:w="6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200</w:t>
            </w:r>
          </w:p>
        </w:tc>
        <w:tc>
          <w:tcPr>
            <w:tcW w:w="2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w:t>
            </w:r>
          </w:p>
        </w:tc>
      </w:tr>
    </w:tbl>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b/>
          <w:bCs/>
          <w:color w:val="auto"/>
          <w:sz w:val="24"/>
          <w:szCs w:val="24"/>
          <w:lang w:val="en-US" w:eastAsia="zh-CN"/>
        </w:rPr>
        <w:t>2.7.2</w:t>
      </w:r>
      <w:r>
        <w:rPr>
          <w:rFonts w:hint="default" w:ascii="Times New Roman" w:hAnsi="Times New Roman" w:eastAsia="宋体" w:cs="Times New Roman"/>
          <w:b/>
          <w:bCs/>
          <w:color w:val="auto"/>
          <w:kern w:val="0"/>
          <w:sz w:val="24"/>
          <w:szCs w:val="24"/>
          <w:lang w:val="en-US" w:eastAsia="zh-CN" w:bidi="ar"/>
        </w:rPr>
        <w:t>给排水</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元坝首站为扩建站场，仅在已建工艺装置区内扩建一套收发球装置，无新增用水需求；陵江清管站，为新建无人值守站，但需考虑 4 人的休息及其对应的给排水设施。 </w:t>
      </w:r>
    </w:p>
    <w:p>
      <w:pPr>
        <w:keepNext w:val="0"/>
        <w:keepLines w:val="0"/>
        <w:widowControl/>
        <w:numPr>
          <w:ilvl w:val="0"/>
          <w:numId w:val="0"/>
        </w:numPr>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1、给水</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陵江清管站为无人值守站场，仅需考虑值班人员的生活用水，此用水量较小，且为间歇临时性用水，拟采用清水罐车（带加压泵）从苍溪县拉运至站内。在陵江清管站内设置1 套高架水箱供水系统，罐车拉运来水进入站内设置的高架水箱内，水箱出水经紫外线净水仪消毒后，供给站内各用水点使用。</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室内给水管道采用Ⅲ型改性聚丙烯 PP-R 管，热熔连接，执行标准为《冷热水用聚丙烯管道系统 管材》（GBT/18742.2-2017）和《冷热水用聚丙烯管道系统 管件》（GBT/18742.3-2017）。室外给水管道采用给水用聚乙烯 PE 管，电热熔连接，执行标准《给水用聚乙烯（PE）管道系统 第 2 部分》（GB/T13663.2-2018）。高架水箱处的露空的给水管道采用流体输送用不锈钢焊接钢管，焊接或法兰连接，执行标准为 GB/T 12771-2019，管材压力等级 1.6MPa。</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w:t>
      </w:r>
      <w:r>
        <w:rPr>
          <w:rFonts w:hint="default" w:ascii="Times New Roman" w:hAnsi="Times New Roman" w:eastAsia="宋体" w:cs="Times New Roman"/>
          <w:bCs/>
          <w:color w:val="auto"/>
          <w:sz w:val="24"/>
        </w:rPr>
        <w:t>《四川省地方标准—用水定额》（川府函〔2021〕8号）</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color w:val="auto"/>
          <w:kern w:val="0"/>
          <w:sz w:val="24"/>
          <w:szCs w:val="24"/>
          <w:lang w:val="en-US" w:eastAsia="zh-CN" w:bidi="ar"/>
        </w:rPr>
        <w:t>将陵江清管站归为“公共管理、社会保障和社会组织”，对应用水定额为38m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/(人·a)，则工程运营期对应用水为152m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/a。</w:t>
      </w:r>
    </w:p>
    <w:p>
      <w:pPr>
        <w:keepNext w:val="0"/>
        <w:keepLines w:val="0"/>
        <w:widowControl/>
        <w:numPr>
          <w:ilvl w:val="0"/>
          <w:numId w:val="0"/>
        </w:numPr>
        <w:suppressLineNumbers w:val="0"/>
        <w:ind w:leftChars="20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2、排水</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室内排水管采用 PVC-U 排水管，承插式胶粘剂粘接；执行标准《建筑排水用硬聚氯乙烯管材》（GB/T5836.1-2018）和《建筑排水用硬聚氯乙烯管件》（GB/T5836.2-2018）。室外重力流排水管采用 HDPE 双壁波纹管，弹性密封圈承插连接,执行标准《埋地用聚乙烯（PE）结构壁管道系统 第 1 部分：聚乙烯双壁波纹管材》（GB/T19472.1-2019）。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陵江清管站为有无人守站，但需考虑值班人员休息时的生活排水，值班人数按 4 人考虑。站场排水主要为生活污水。排污系数取0.85，则工程运营期排水量为129.2m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/a。陵江清管站站附近均无市政排水系统可供依托。拟将站场内生活污水经排水管道收集、化粪池预处理后暂存污水集水池，用作场地绿化及周边农田施肥。</w:t>
      </w:r>
    </w:p>
    <w:p>
      <w:pPr>
        <w:keepNext w:val="0"/>
        <w:keepLines w:val="0"/>
        <w:widowControl/>
        <w:suppressLineNumbers w:val="0"/>
        <w:jc w:val="left"/>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lang w:val="en-US" w:eastAsia="zh-CN"/>
        </w:rPr>
        <w:t>根据工程设计，陵江清管站站场绿化面积1000m</w:t>
      </w:r>
      <w:r>
        <w:rPr>
          <w:rFonts w:hint="default" w:ascii="Times New Roman" w:hAnsi="Times New Roman" w:eastAsia="宋体" w:cs="Times New Roman"/>
          <w:color w:val="auto"/>
          <w:vertAlign w:val="superscript"/>
          <w:lang w:val="en-US" w:eastAsia="zh-CN"/>
        </w:rPr>
        <w:t>2</w:t>
      </w:r>
      <w:r>
        <w:rPr>
          <w:rFonts w:hint="default" w:ascii="Times New Roman" w:hAnsi="Times New Roman" w:eastAsia="宋体" w:cs="Times New Roman"/>
          <w:color w:val="auto"/>
          <w:vertAlign w:val="baseline"/>
          <w:lang w:val="en-US" w:eastAsia="zh-CN"/>
        </w:rPr>
        <w:t>，</w:t>
      </w:r>
      <w:r>
        <w:rPr>
          <w:rFonts w:hint="default" w:ascii="Times New Roman" w:hAnsi="Times New Roman" w:eastAsia="宋体" w:cs="Times New Roman"/>
          <w:color w:val="auto"/>
          <w:kern w:val="0"/>
          <w:sz w:val="24"/>
          <w:szCs w:val="24"/>
          <w:lang w:val="en-US" w:eastAsia="zh-CN" w:bidi="ar"/>
        </w:rPr>
        <w:t>根据</w:t>
      </w:r>
      <w:r>
        <w:rPr>
          <w:rFonts w:hint="default" w:ascii="Times New Roman" w:hAnsi="Times New Roman" w:eastAsia="宋体" w:cs="Times New Roman"/>
          <w:bCs/>
          <w:color w:val="auto"/>
          <w:sz w:val="24"/>
        </w:rPr>
        <w:t>《四川省地方标准—用水定额》（川府函〔2021〕8号）</w:t>
      </w:r>
      <w:r>
        <w:rPr>
          <w:rFonts w:hint="default" w:ascii="Times New Roman" w:hAnsi="Times New Roman" w:eastAsia="宋体" w:cs="Times New Roman"/>
          <w:bCs/>
          <w:color w:val="auto"/>
          <w:sz w:val="24"/>
          <w:lang w:eastAsia="zh-CN"/>
        </w:rPr>
        <w:t>绿化管理用水定额为</w:t>
      </w:r>
      <w:r>
        <w:rPr>
          <w:rFonts w:hint="default" w:ascii="Times New Roman" w:hAnsi="Times New Roman" w:eastAsia="宋体" w:cs="Times New Roman"/>
          <w:bCs/>
          <w:color w:val="auto"/>
          <w:sz w:val="24"/>
          <w:lang w:val="en-US" w:eastAsia="zh-CN"/>
        </w:rPr>
        <w:t>0.77m</w:t>
      </w:r>
      <w:r>
        <w:rPr>
          <w:rFonts w:hint="default" w:ascii="Times New Roman" w:hAnsi="Times New Roman" w:eastAsia="宋体" w:cs="Times New Roman"/>
          <w:bCs/>
          <w:color w:val="auto"/>
          <w:sz w:val="24"/>
          <w:vertAlign w:val="superscript"/>
          <w:lang w:val="en-US" w:eastAsia="zh-CN"/>
        </w:rPr>
        <w:t>3</w:t>
      </w:r>
      <w:r>
        <w:rPr>
          <w:rFonts w:hint="default" w:ascii="Times New Roman" w:hAnsi="Times New Roman" w:eastAsia="宋体" w:cs="Times New Roman"/>
          <w:bCs/>
          <w:color w:val="auto"/>
          <w:sz w:val="24"/>
          <w:vertAlign w:val="baseline"/>
          <w:lang w:val="en-US" w:eastAsia="zh-CN"/>
        </w:rPr>
        <w:t>/（m</w:t>
      </w:r>
      <w:r>
        <w:rPr>
          <w:rFonts w:hint="default" w:ascii="Times New Roman" w:hAnsi="Times New Roman" w:eastAsia="宋体" w:cs="Times New Roman"/>
          <w:bCs/>
          <w:color w:val="auto"/>
          <w:sz w:val="24"/>
          <w:vertAlign w:val="superscript"/>
          <w:lang w:val="en-US" w:eastAsia="zh-CN"/>
        </w:rPr>
        <w:t>2</w:t>
      </w:r>
      <w:r>
        <w:rPr>
          <w:rFonts w:hint="default" w:ascii="Times New Roman" w:hAnsi="Times New Roman" w:eastAsia="宋体" w:cs="Times New Roman"/>
          <w:bCs/>
          <w:color w:val="auto"/>
          <w:sz w:val="24"/>
          <w:vertAlign w:val="baseline"/>
          <w:lang w:val="en-US" w:eastAsia="zh-CN"/>
        </w:rPr>
        <w:t>·a），则站场一年所需绿化用水770</w:t>
      </w:r>
      <w:r>
        <w:rPr>
          <w:rFonts w:hint="default" w:ascii="Times New Roman" w:hAnsi="Times New Roman" w:eastAsia="宋体" w:cs="Times New Roman"/>
          <w:bCs/>
          <w:color w:val="auto"/>
          <w:sz w:val="24"/>
          <w:lang w:val="en-US" w:eastAsia="zh-CN"/>
        </w:rPr>
        <w:t>m</w:t>
      </w:r>
      <w:r>
        <w:rPr>
          <w:rFonts w:hint="default" w:ascii="Times New Roman" w:hAnsi="Times New Roman" w:eastAsia="宋体" w:cs="Times New Roman"/>
          <w:bCs/>
          <w:color w:val="auto"/>
          <w:sz w:val="24"/>
          <w:vertAlign w:val="superscript"/>
          <w:lang w:val="en-US" w:eastAsia="zh-CN"/>
        </w:rPr>
        <w:t>3</w:t>
      </w:r>
      <w:r>
        <w:rPr>
          <w:rFonts w:hint="default" w:ascii="Times New Roman" w:hAnsi="Times New Roman" w:eastAsia="宋体" w:cs="Times New Roman"/>
          <w:bCs/>
          <w:color w:val="auto"/>
          <w:sz w:val="24"/>
          <w:vertAlign w:val="baseline"/>
          <w:lang w:val="en-US" w:eastAsia="zh-CN"/>
        </w:rPr>
        <w:t>，工程排水129.2</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/a，绿化用水可接纳站场生活废水排放量。</w:t>
      </w:r>
    </w:p>
    <w:p>
      <w:pPr>
        <w:keepNext w:val="0"/>
        <w:keepLines w:val="0"/>
        <w:widowControl/>
        <w:suppressLineNumbers w:val="0"/>
        <w:jc w:val="left"/>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2.7.3</w:t>
      </w:r>
      <w:r>
        <w:rPr>
          <w:rFonts w:hint="default" w:ascii="Times New Roman" w:hAnsi="Times New Roman" w:eastAsia="宋体" w:cs="Times New Roman"/>
          <w:b/>
          <w:bCs/>
          <w:color w:val="auto"/>
          <w:kern w:val="0"/>
          <w:sz w:val="24"/>
          <w:szCs w:val="24"/>
          <w:lang w:val="en-US" w:eastAsia="zh-CN" w:bidi="ar"/>
        </w:rPr>
        <w:t>热工与暖通</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本工程元坝首站为扩建站，无热工设计内容。陵江清管站为新建无人值守站，无生活用气，站场不点火，无热工相关工程量。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本工程通风采用机械通风和自然通风相结合的方。卫生间通风采用吊顶式卫生间通风器进行通风换气。建筑单体防排烟主要采用自然排烟方式，利用可开启窗户排烟</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仪表电气用房选用基站型分体空调器，其余需空调房间采用分体空调。</w:t>
      </w:r>
    </w:p>
    <w:p>
      <w:pPr>
        <w:keepNext w:val="0"/>
        <w:keepLines w:val="0"/>
        <w:widowControl/>
        <w:suppressLineNumbers w:val="0"/>
        <w:jc w:val="left"/>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2.7.4</w:t>
      </w:r>
      <w:r>
        <w:rPr>
          <w:rFonts w:hint="default" w:ascii="Times New Roman" w:hAnsi="Times New Roman" w:eastAsia="宋体" w:cs="Times New Roman"/>
          <w:b/>
          <w:bCs/>
          <w:color w:val="auto"/>
          <w:kern w:val="0"/>
          <w:sz w:val="24"/>
          <w:szCs w:val="24"/>
          <w:lang w:val="en-US" w:eastAsia="zh-CN" w:bidi="ar"/>
        </w:rPr>
        <w:t>建筑</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工程新建陵江清管站，站内新建综合用房一座，新建总建筑面积 130m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 xml:space="preserve">。墙体：钢筋混凝土框架结构外墙采用 250 厚加气混凝土砌块，内墙 200 厚加气混凝土砌块，卫生间隔墙采用 120 厚实心砖。门窗：窗户采用中空玻璃塑钢窗；机柜间、UPS 室采用防火门，工具间、临时休息室采 用防盗门。地面：临时休息室采用铺地砖地面；有特殊要求的如机柜间、UPS 间采用防静电活动地板，工具间采用水泥砂浆地面。所有建筑物的地面应考虑防潮措施。内墙装修：采用水泥石灰砂浆抹面，刷内墙涂料；临时休息室内卫生间采用贴瓷砖墙面。顶棚：机柜间、UPS 室、卫生间等采用铝合金方板吊顶，其余采用轻钢龙骨纸面石膏板吊顶。外墙装修：钢筋混凝土框架结构建筑单体根据使用功能采用外墙面砖、外墙涂料。室外装修：水泥砂浆抹面台阶。 </w:t>
      </w:r>
    </w:p>
    <w:p>
      <w:pPr>
        <w:keepNext w:val="0"/>
        <w:keepLines w:val="0"/>
        <w:widowControl/>
        <w:suppressLineNumbers w:val="0"/>
        <w:jc w:val="left"/>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2.7.5消防</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根据《石油天然气工程设计防火规范》（GB50183-2004）的站场分级规定，本工程陵 江清管站为五级场站，可不设消防给水设施。根据《建筑灭火器配置设计规范》（GB50140 －2005），在陵江清管站可能发生火灾的各类场所，按其火灾危险性、区域大小、火灾类型等实际情况，分别设置一定数量、不同类型及规格的灭火器材，以扑灭初期零星火灾。元坝首站在已建元坝净化厂元坝首站内扩，不新增用地，原站已考虑有完善的消防设施，因此本工程不新增消防设施。 </w:t>
      </w:r>
    </w:p>
    <w:p>
      <w:pPr>
        <w:keepNext w:val="0"/>
        <w:keepLines w:val="0"/>
        <w:widowControl/>
        <w:suppressLineNumbers w:val="0"/>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kern w:val="0"/>
          <w:sz w:val="24"/>
          <w:szCs w:val="24"/>
          <w:lang w:val="en-US" w:eastAsia="zh-CN" w:bidi="ar"/>
        </w:rPr>
        <w:t>表2.7-2拟建陵江清管站消防器材表</w:t>
      </w:r>
    </w:p>
    <w:tbl>
      <w:tblPr>
        <w:tblStyle w:val="24"/>
        <w:tblW w:w="4996" w:type="pct"/>
        <w:tblInd w:w="0" w:type="dxa"/>
        <w:shd w:val="clear" w:color="auto" w:fill="auto"/>
        <w:tblLayout w:type="fixed"/>
        <w:tblCellMar>
          <w:top w:w="0" w:type="dxa"/>
          <w:left w:w="108" w:type="dxa"/>
          <w:bottom w:w="0" w:type="dxa"/>
          <w:right w:w="108" w:type="dxa"/>
        </w:tblCellMar>
      </w:tblPr>
      <w:tblGrid>
        <w:gridCol w:w="2978"/>
        <w:gridCol w:w="1227"/>
        <w:gridCol w:w="1391"/>
        <w:gridCol w:w="1268"/>
        <w:gridCol w:w="2304"/>
      </w:tblGrid>
      <w:tr>
        <w:tblPrEx>
          <w:shd w:val="clear" w:color="auto" w:fill="auto"/>
          <w:tblCellMar>
            <w:top w:w="0" w:type="dxa"/>
            <w:left w:w="108" w:type="dxa"/>
            <w:bottom w:w="0" w:type="dxa"/>
            <w:right w:w="108" w:type="dxa"/>
          </w:tblCellMar>
        </w:tblPrEx>
        <w:trPr>
          <w:trHeight w:val="270" w:hRule="atLeast"/>
        </w:trPr>
        <w:tc>
          <w:tcPr>
            <w:tcW w:w="1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名称</w:t>
            </w:r>
          </w:p>
        </w:tc>
        <w:tc>
          <w:tcPr>
            <w:tcW w:w="6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规格</w:t>
            </w:r>
          </w:p>
        </w:tc>
        <w:tc>
          <w:tcPr>
            <w:tcW w:w="7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单位</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数量</w:t>
            </w:r>
          </w:p>
        </w:tc>
        <w:tc>
          <w:tcPr>
            <w:tcW w:w="12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备注</w:t>
            </w:r>
          </w:p>
        </w:tc>
      </w:tr>
      <w:tr>
        <w:tblPrEx>
          <w:shd w:val="clear" w:color="auto" w:fill="auto"/>
          <w:tblCellMar>
            <w:top w:w="0" w:type="dxa"/>
            <w:left w:w="108" w:type="dxa"/>
            <w:bottom w:w="0" w:type="dxa"/>
            <w:right w:w="108" w:type="dxa"/>
          </w:tblCellMar>
        </w:tblPrEx>
        <w:trPr>
          <w:trHeight w:val="595" w:hRule="atLeast"/>
        </w:trPr>
        <w:tc>
          <w:tcPr>
            <w:tcW w:w="1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手提式磷酸铵盐干粉灭火器</w:t>
            </w:r>
          </w:p>
        </w:tc>
        <w:tc>
          <w:tcPr>
            <w:tcW w:w="6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MF/ABC5</w:t>
            </w:r>
          </w:p>
        </w:tc>
        <w:tc>
          <w:tcPr>
            <w:tcW w:w="7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具</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12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CellMar>
            <w:top w:w="0" w:type="dxa"/>
            <w:left w:w="108" w:type="dxa"/>
            <w:bottom w:w="0" w:type="dxa"/>
            <w:right w:w="108" w:type="dxa"/>
          </w:tblCellMar>
        </w:tblPrEx>
        <w:trPr>
          <w:trHeight w:val="418" w:hRule="atLeast"/>
        </w:trPr>
        <w:tc>
          <w:tcPr>
            <w:tcW w:w="1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手提式磷酸铵盐干粉灭火器</w:t>
            </w:r>
          </w:p>
        </w:tc>
        <w:tc>
          <w:tcPr>
            <w:tcW w:w="6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MF/ABC8</w:t>
            </w:r>
          </w:p>
        </w:tc>
        <w:tc>
          <w:tcPr>
            <w:tcW w:w="7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具</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12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CellMar>
            <w:top w:w="0" w:type="dxa"/>
            <w:left w:w="108" w:type="dxa"/>
            <w:bottom w:w="0" w:type="dxa"/>
            <w:right w:w="108" w:type="dxa"/>
          </w:tblCellMar>
        </w:tblPrEx>
        <w:trPr>
          <w:trHeight w:val="524" w:hRule="atLeast"/>
        </w:trPr>
        <w:tc>
          <w:tcPr>
            <w:tcW w:w="1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手提式二氧化碳灭火器</w:t>
            </w:r>
          </w:p>
        </w:tc>
        <w:tc>
          <w:tcPr>
            <w:tcW w:w="6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MT7</w:t>
            </w:r>
          </w:p>
        </w:tc>
        <w:tc>
          <w:tcPr>
            <w:tcW w:w="7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具</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12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喇叭喷筒为非金</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属材质</w:t>
            </w:r>
          </w:p>
        </w:tc>
      </w:tr>
      <w:tr>
        <w:tblPrEx>
          <w:tblCellMar>
            <w:top w:w="0" w:type="dxa"/>
            <w:left w:w="108" w:type="dxa"/>
            <w:bottom w:w="0" w:type="dxa"/>
            <w:right w:w="108" w:type="dxa"/>
          </w:tblCellMar>
        </w:tblPrEx>
        <w:trPr>
          <w:trHeight w:val="560" w:hRule="atLeast"/>
        </w:trPr>
        <w:tc>
          <w:tcPr>
            <w:tcW w:w="1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推车式磷酸铵盐干粉灭火器</w:t>
            </w:r>
          </w:p>
        </w:tc>
        <w:tc>
          <w:tcPr>
            <w:tcW w:w="6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MFT/ABC20</w:t>
            </w:r>
          </w:p>
        </w:tc>
        <w:tc>
          <w:tcPr>
            <w:tcW w:w="7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具</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12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带防雨罩</w:t>
            </w:r>
          </w:p>
        </w:tc>
      </w:tr>
    </w:tbl>
    <w:p>
      <w:pPr>
        <w:pStyle w:val="5"/>
        <w:bidi w:val="0"/>
        <w:rPr>
          <w:rFonts w:hint="default" w:ascii="Times New Roman" w:hAnsi="Times New Roman" w:eastAsia="宋体" w:cs="Times New Roman"/>
          <w:color w:val="auto"/>
          <w:lang w:val="en-US" w:eastAsia="zh-CN"/>
        </w:rPr>
      </w:pPr>
      <w:bookmarkStart w:id="36" w:name="_Toc13627"/>
      <w:r>
        <w:rPr>
          <w:rFonts w:hint="default" w:ascii="Times New Roman" w:hAnsi="Times New Roman" w:eastAsia="宋体" w:cs="Times New Roman"/>
          <w:color w:val="auto"/>
          <w:lang w:val="en-US" w:eastAsia="zh-CN"/>
        </w:rPr>
        <w:t>2.8辅助工程</w:t>
      </w:r>
      <w:bookmarkEnd w:id="36"/>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2.8.1道路工程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本工程的管径为 D1016，充分利用原有地方公路，对原有地方公路进行补偿利用（村级混凝土公路补偿——借道），对不能满足车辆通行的机耕道采用加固、调整平曲线及降坡等方式进行整修（整修施工道路），在地方公路至管沟边无道路通行的地方进行新建道路（新建施工道路）设计，从地方已有运输条件较好的道路采用汽车运输管道至临近管沟的堆管场，堆管场根据原有地方道路和当地地形结合，以约 2km 管道附近设置一座堆管场来进行控制和布置。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本工程新建施工便道 3.52km，改扩建 5.24km，路基宽度 4.5m，路面宽度3m，占地 2.82hm²。</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施工前，剥离本区表土，表土堆放于道路一侧，后期用于覆土。施工期间大开挖区域下游采取编织袋装土临时挡墙拦挡，防治土石方滚落扩大扰动面积，道路内侧设排水沟。施工结束后回填边坡进行土地整治后种植攀援植物、施工迹地结合灌木植草恢复植被。 </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2.8.2拆迁</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本工程电力或通信电杆迁移 25 根；坟墓搬迁 30 座。拆迁工作采用货币包干拆迁制，由地方政府解决拆迁问题，并负责由此而新增水土流失的防治责任。</w:t>
      </w:r>
    </w:p>
    <w:p>
      <w:pPr>
        <w:keepNext w:val="0"/>
        <w:keepLines w:val="0"/>
        <w:widowControl/>
        <w:suppressLineNumbers w:val="0"/>
        <w:jc w:val="left"/>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2.8.3工程占地</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根据项目可行性研究报告并结合现场实际勘察，本工程总占地 46.23hm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，其中永久占地 55500m2，，临时占地 37.21hm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；根据项目《水保》占地类型中，采矿用地 0.09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，住宅用地 0.85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，耕地 27.01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，林地 8.92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，草地 0.78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，水域及水利设施用地 1.86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，设施农用地 6.72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 xml:space="preserve">。 </w:t>
      </w:r>
    </w:p>
    <w:p>
      <w:pPr>
        <w:keepNext w:val="0"/>
        <w:keepLines w:val="0"/>
        <w:widowControl/>
        <w:suppressLineNumbers w:val="0"/>
        <w:jc w:val="center"/>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表2.8-1工程占地面积及占地类型统计表</w:t>
      </w:r>
    </w:p>
    <w:tbl>
      <w:tblPr>
        <w:tblStyle w:val="24"/>
        <w:tblW w:w="5000" w:type="pct"/>
        <w:jc w:val="center"/>
        <w:shd w:val="clear" w:color="auto" w:fill="auto"/>
        <w:tblLayout w:type="fixed"/>
        <w:tblCellMar>
          <w:top w:w="0" w:type="dxa"/>
          <w:left w:w="108" w:type="dxa"/>
          <w:bottom w:w="0" w:type="dxa"/>
          <w:right w:w="108" w:type="dxa"/>
        </w:tblCellMar>
      </w:tblPr>
      <w:tblGrid>
        <w:gridCol w:w="1305"/>
        <w:gridCol w:w="1541"/>
        <w:gridCol w:w="1045"/>
        <w:gridCol w:w="1171"/>
        <w:gridCol w:w="1171"/>
        <w:gridCol w:w="789"/>
        <w:gridCol w:w="980"/>
        <w:gridCol w:w="1172"/>
      </w:tblGrid>
      <w:tr>
        <w:tblPrEx>
          <w:shd w:val="clear" w:color="auto" w:fill="auto"/>
          <w:tblCellMar>
            <w:top w:w="0" w:type="dxa"/>
            <w:left w:w="108" w:type="dxa"/>
            <w:bottom w:w="0" w:type="dxa"/>
            <w:right w:w="108" w:type="dxa"/>
          </w:tblCellMar>
        </w:tblPrEx>
        <w:trPr>
          <w:trHeight w:val="270" w:hRule="atLeast"/>
          <w:jc w:val="center"/>
        </w:trPr>
        <w:tc>
          <w:tcPr>
            <w:tcW w:w="71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分区</w:t>
            </w:r>
          </w:p>
        </w:tc>
        <w:tc>
          <w:tcPr>
            <w:tcW w:w="2047"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管道区</w:t>
            </w:r>
          </w:p>
        </w:tc>
        <w:tc>
          <w:tcPr>
            <w:tcW w:w="1602"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站场阀室区</w:t>
            </w: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施工道路区</w:t>
            </w:r>
          </w:p>
        </w:tc>
      </w:tr>
      <w:tr>
        <w:tblPrEx>
          <w:shd w:val="clear" w:color="auto" w:fill="auto"/>
          <w:tblCellMar>
            <w:top w:w="0" w:type="dxa"/>
            <w:left w:w="108" w:type="dxa"/>
            <w:bottom w:w="0" w:type="dxa"/>
            <w:right w:w="108" w:type="dxa"/>
          </w:tblCellMar>
        </w:tblPrEx>
        <w:trPr>
          <w:trHeight w:val="270" w:hRule="atLeast"/>
          <w:jc w:val="center"/>
        </w:trPr>
        <w:tc>
          <w:tcPr>
            <w:tcW w:w="71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施工管道作业区</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河流穿越区</w:t>
            </w: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公路穿越区</w:t>
            </w: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进站道路区</w:t>
            </w: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站场区</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供配电区</w:t>
            </w: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施工便道区</w:t>
            </w:r>
          </w:p>
        </w:tc>
      </w:tr>
      <w:tr>
        <w:tblPrEx>
          <w:shd w:val="clear" w:color="auto" w:fill="auto"/>
          <w:tblCellMar>
            <w:top w:w="0" w:type="dxa"/>
            <w:left w:w="108" w:type="dxa"/>
            <w:bottom w:w="0" w:type="dxa"/>
            <w:right w:w="108" w:type="dxa"/>
          </w:tblCellMar>
        </w:tblPrEx>
        <w:trPr>
          <w:trHeight w:val="270" w:hRule="atLeast"/>
          <w:jc w:val="center"/>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采矿用地</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0.09</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jc w:val="center"/>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0.85</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shd w:val="clear" w:color="auto" w:fill="auto"/>
        </w:tblPrEx>
        <w:trPr>
          <w:trHeight w:val="270" w:hRule="atLeast"/>
          <w:jc w:val="center"/>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果园</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0.18</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1.12</w:t>
            </w:r>
          </w:p>
        </w:tc>
      </w:tr>
      <w:tr>
        <w:tblPrEx>
          <w:shd w:val="clear" w:color="auto" w:fill="auto"/>
          <w:tblCellMar>
            <w:top w:w="0" w:type="dxa"/>
            <w:left w:w="108" w:type="dxa"/>
            <w:bottom w:w="0" w:type="dxa"/>
            <w:right w:w="108" w:type="dxa"/>
          </w:tblCellMar>
        </w:tblPrEx>
        <w:trPr>
          <w:trHeight w:val="270" w:hRule="atLeast"/>
          <w:jc w:val="center"/>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旱地</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4.25</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3.23</w:t>
            </w: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0.42</w:t>
            </w: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0.09</w:t>
            </w: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0.17</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0.36</w:t>
            </w: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1.28</w:t>
            </w:r>
          </w:p>
        </w:tc>
      </w:tr>
      <w:tr>
        <w:tblPrEx>
          <w:shd w:val="clear" w:color="auto" w:fill="auto"/>
        </w:tblPrEx>
        <w:trPr>
          <w:trHeight w:val="270" w:hRule="atLeast"/>
          <w:jc w:val="center"/>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河流水面</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1.25</w:t>
            </w: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tblCellMar>
            <w:top w:w="0" w:type="dxa"/>
            <w:left w:w="108" w:type="dxa"/>
            <w:bottom w:w="0" w:type="dxa"/>
            <w:right w:w="108" w:type="dxa"/>
          </w:tblCellMar>
        </w:tblPrEx>
        <w:trPr>
          <w:trHeight w:val="270" w:hRule="atLeast"/>
          <w:jc w:val="center"/>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坑塘水面</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0.31</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tblCellMar>
            <w:top w:w="0" w:type="dxa"/>
            <w:left w:w="108" w:type="dxa"/>
            <w:bottom w:w="0" w:type="dxa"/>
            <w:right w:w="108" w:type="dxa"/>
          </w:tblCellMar>
        </w:tblPrEx>
        <w:trPr>
          <w:trHeight w:val="270" w:hRule="atLeast"/>
          <w:jc w:val="center"/>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内陆滩涂</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0.30</w:t>
            </w: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tblCellMar>
            <w:top w:w="0" w:type="dxa"/>
            <w:left w:w="108" w:type="dxa"/>
            <w:bottom w:w="0" w:type="dxa"/>
            <w:right w:w="108" w:type="dxa"/>
          </w:tblCellMar>
        </w:tblPrEx>
        <w:trPr>
          <w:trHeight w:val="270" w:hRule="atLeast"/>
          <w:jc w:val="center"/>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其他草地</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0.18</w:t>
            </w: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0.14</w:t>
            </w: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0.42</w:t>
            </w:r>
          </w:p>
        </w:tc>
      </w:tr>
      <w:tr>
        <w:trPr>
          <w:trHeight w:val="270" w:hRule="atLeast"/>
          <w:jc w:val="center"/>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设施农用地</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6.72</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jc w:val="center"/>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水田</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15.92</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rPr>
          <w:trHeight w:val="270" w:hRule="atLeast"/>
          <w:jc w:val="center"/>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林地</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8.35</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0.57</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shd w:val="clear" w:color="auto" w:fill="auto"/>
          <w:tblCellMar>
            <w:top w:w="0" w:type="dxa"/>
            <w:left w:w="108" w:type="dxa"/>
            <w:bottom w:w="0" w:type="dxa"/>
            <w:right w:w="108" w:type="dxa"/>
          </w:tblCellMar>
        </w:tblPrEx>
        <w:trPr>
          <w:trHeight w:val="270" w:hRule="atLeast"/>
          <w:jc w:val="center"/>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合计</w:t>
            </w:r>
          </w:p>
        </w:tc>
        <w:tc>
          <w:tcPr>
            <w:tcW w:w="8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36.7</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4.97</w:t>
            </w: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0.60</w:t>
            </w: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0.23</w:t>
            </w: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0.74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0.36</w:t>
            </w:r>
          </w:p>
        </w:tc>
        <w:tc>
          <w:tcPr>
            <w:tcW w:w="6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2.82</w:t>
            </w:r>
          </w:p>
        </w:tc>
      </w:tr>
    </w:tbl>
    <w:p>
      <w:pP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2.8.4总平面布置合理性</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1）陵江清管站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站内布置综合用房、生活污水集水池、高架水箱、装置区等。站场分为办公区和生产区，中间采用铁艺围栏分隔开。办公区布置综合用房、生活污水集水池、高架水箱，将综合用房靠近主出入口布置，非出入口侧布置生活污水集水池、高架水箱；生产区布置工艺装置区。站内设置混凝土车行道、人行道方便日常运行管理，工艺装置区设置环形车行道，满足检修车辆和消防车进场、调头要求。站场设置一处大门，两处小门，满足人员日常进出和紧急状况下快速撤离的要求。站场四周设置 2.5m 高实体围墙，上加设 0.5m 高防翻越刺丝，满足防恐等相关要求</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2）元坝首站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在元坝净化厂内出站阀组区内空地新建一座收发球装置。站内车行道利用现有车行道，无新建车行道，考虑部分整修部分装置区铺装工程量。竖向设计与已建部分保持一致，场地雨水通过场地坡度汇入已建排水系统</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项目在运行过程中不产生废气等污染物，噪声较小，不会对该区域农户造成明显影响，能做到生产安全，站区管线走向顺畅。评价认为平面布置合理。 </w:t>
      </w:r>
    </w:p>
    <w:p>
      <w:pPr>
        <w:rPr>
          <w:rFonts w:hint="default" w:ascii="Times New Roman" w:hAnsi="Times New Roman" w:eastAsia="宋体" w:cs="Times New Roman"/>
          <w:color w:val="auto"/>
          <w:lang w:val="en-US" w:eastAsia="zh-CN"/>
        </w:rPr>
      </w:pPr>
    </w:p>
    <w:p>
      <w:pP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br w:type="page"/>
      </w:r>
    </w:p>
    <w:p>
      <w:pPr>
        <w:pStyle w:val="4"/>
        <w:numPr>
          <w:ilvl w:val="0"/>
          <w:numId w:val="0"/>
        </w:numPr>
        <w:bidi w:val="0"/>
        <w:jc w:val="center"/>
        <w:rPr>
          <w:rFonts w:hint="default" w:ascii="Times New Roman" w:hAnsi="Times New Roman" w:eastAsia="宋体" w:cs="Times New Roman"/>
          <w:color w:val="auto"/>
          <w:lang w:val="en-US" w:eastAsia="zh-CN"/>
        </w:rPr>
      </w:pPr>
      <w:bookmarkStart w:id="37" w:name="_Toc11020"/>
      <w:r>
        <w:rPr>
          <w:rFonts w:hint="default" w:ascii="Times New Roman" w:hAnsi="Times New Roman" w:eastAsia="宋体" w:cs="Times New Roman"/>
          <w:color w:val="auto"/>
          <w:lang w:val="en-US" w:eastAsia="zh-CN"/>
        </w:rPr>
        <w:t>第三章 工程分析</w:t>
      </w:r>
      <w:bookmarkEnd w:id="37"/>
    </w:p>
    <w:p>
      <w:pPr>
        <w:keepNext w:val="0"/>
        <w:keepLines w:val="0"/>
        <w:widowControl/>
        <w:suppressLineNumbers w:val="0"/>
        <w:jc w:val="left"/>
        <w:rPr>
          <w:rFonts w:hint="default" w:ascii="Times New Roman" w:hAnsi="Times New Roman" w:eastAsia="宋体" w:cs="Times New Roman"/>
          <w:color w:val="auto"/>
          <w:kern w:val="0"/>
          <w:sz w:val="28"/>
          <w:szCs w:val="28"/>
          <w:lang w:val="en-US" w:eastAsia="zh-CN" w:bidi="ar"/>
        </w:rPr>
      </w:pPr>
      <w:r>
        <w:rPr>
          <w:rFonts w:hint="default" w:ascii="Times New Roman" w:hAnsi="Times New Roman" w:eastAsia="宋体" w:cs="Times New Roman"/>
          <w:color w:val="auto"/>
          <w:kern w:val="0"/>
          <w:sz w:val="28"/>
          <w:szCs w:val="28"/>
          <w:lang w:val="en-US" w:eastAsia="zh-CN" w:bidi="ar"/>
        </w:rPr>
        <w:t>工程建设对环境的影响可以从施工期和运行期两个阶段来考虑。施工期对环境的影响主要表现为各种施工活动对生态环境的影响；运行期对环境的影响主要是各站场排污，如生活污水、生活垃圾、燃气采暖锅炉排出的废气、压缩机等设备运行产生的噪声等对环境的影响。</w:t>
      </w:r>
    </w:p>
    <w:p>
      <w:pPr>
        <w:keepNext w:val="0"/>
        <w:keepLines w:val="0"/>
        <w:widowControl/>
        <w:suppressLineNumbers w:val="0"/>
        <w:jc w:val="left"/>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kern w:val="0"/>
          <w:sz w:val="28"/>
          <w:szCs w:val="28"/>
          <w:lang w:val="en-US" w:eastAsia="zh-CN" w:bidi="ar"/>
        </w:rPr>
        <w:t xml:space="preserve">3.1 施工期环境影响分析 </w:t>
      </w:r>
    </w:p>
    <w:p>
      <w:pPr>
        <w:keepNext w:val="0"/>
        <w:keepLines w:val="0"/>
        <w:widowControl/>
        <w:suppressLineNumbers w:val="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3.1.1 施工过程分析 </w:t>
      </w:r>
    </w:p>
    <w:p>
      <w:pPr>
        <w:keepNext w:val="0"/>
        <w:keepLines w:val="0"/>
        <w:widowControl/>
        <w:suppressLineNumbers w:val="0"/>
        <w:jc w:val="left"/>
        <w:rPr>
          <w:rFonts w:hint="default" w:ascii="Times New Roman" w:hAnsi="Times New Roman" w:eastAsia="宋体" w:cs="Times New Roman"/>
          <w:color w:val="auto"/>
          <w:kern w:val="0"/>
          <w:sz w:val="28"/>
          <w:szCs w:val="28"/>
          <w:lang w:val="en-US" w:eastAsia="zh-CN" w:bidi="ar"/>
        </w:rPr>
      </w:pPr>
      <w:r>
        <w:rPr>
          <w:rFonts w:hint="default" w:ascii="Times New Roman" w:hAnsi="Times New Roman" w:eastAsia="宋体" w:cs="Times New Roman"/>
          <w:color w:val="auto"/>
          <w:kern w:val="0"/>
          <w:sz w:val="28"/>
          <w:szCs w:val="28"/>
          <w:lang w:val="en-US" w:eastAsia="zh-CN" w:bidi="ar"/>
        </w:rPr>
        <w:t>管道施工一般由线路施工和站场施工组成，整个施工过程由具有相应施工机械设备的专业化施工队伍来完成。管道施工过程见图 3.1-1。</w:t>
      </w:r>
    </w:p>
    <w:p>
      <w:pPr>
        <w:keepNext w:val="0"/>
        <w:keepLines w:val="0"/>
        <w:widowControl/>
        <w:suppressLineNumbers w:val="0"/>
        <w:spacing w:line="240" w:lineRule="auto"/>
        <w:jc w:val="left"/>
        <w:rPr>
          <w:rFonts w:hint="default" w:ascii="Times New Roman" w:hAnsi="Times New Roman" w:eastAsia="宋体" w:cs="Times New Roman"/>
          <w:color w:val="auto"/>
          <w:kern w:val="0"/>
          <w:sz w:val="28"/>
          <w:szCs w:val="28"/>
          <w:lang w:val="en-US" w:eastAsia="zh-CN" w:bidi="ar"/>
        </w:rPr>
      </w:pPr>
      <w:r>
        <w:rPr>
          <w:rFonts w:hint="default" w:ascii="Times New Roman" w:hAnsi="Times New Roman" w:eastAsia="宋体" w:cs="Times New Roman"/>
          <w:color w:val="auto"/>
          <w:kern w:val="0"/>
          <w:sz w:val="28"/>
          <w:szCs w:val="28"/>
          <w:lang w:val="en-US" w:eastAsia="zh-CN" w:bidi="ar"/>
        </w:rPr>
        <w:drawing>
          <wp:inline distT="0" distB="0" distL="114300" distR="114300">
            <wp:extent cx="5411470" cy="4340860"/>
            <wp:effectExtent l="0" t="0" r="17780" b="2540"/>
            <wp:docPr id="12" name="图片 1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1"/>
                    <pic:cNvPicPr>
                      <a:picLocks noChangeAspect="1"/>
                    </pic:cNvPicPr>
                  </pic:nvPicPr>
                  <pic:blipFill>
                    <a:blip r:embed="rId16"/>
                    <a:srcRect l="17082" t="6848" r="22608" b="7146"/>
                    <a:stretch>
                      <a:fillRect/>
                    </a:stretch>
                  </pic:blipFill>
                  <pic:spPr>
                    <a:xfrm>
                      <a:off x="0" y="0"/>
                      <a:ext cx="5411470" cy="4340860"/>
                    </a:xfrm>
                    <a:prstGeom prst="rect">
                      <a:avLst/>
                    </a:prstGeom>
                  </pic:spPr>
                </pic:pic>
              </a:graphicData>
            </a:graphic>
          </wp:inline>
        </w:drawing>
      </w:r>
    </w:p>
    <w:p>
      <w:pPr>
        <w:keepNext w:val="0"/>
        <w:keepLines w:val="0"/>
        <w:widowControl/>
        <w:suppressLineNumbers w:val="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图3.1-1管道工程主要施工过程及产污节点图</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1、施工期工艺流程简述：</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现场勘查，确认路由后进行作业线路的清理，并修建必要的施工道路(以便施工人员、施工车辆和各种材料等进入施工场地)；在完成管沟开挖、铁路、公路穿越、河流穿越等基础工作以后，按照施工规范，将运到现场的管道进行焊接、补口、补伤、防腐处理，然后下到管沟内。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（2）建设工艺站场时，首先要清理场地，然后安装工艺装置，并配套建设相应的辅助设施。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（3）以上建设完成以后，对管道进行对管线进行吹扫试压，然后覆土回填，清理作业现场，恢复地貌和地表植被。</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（4）管线试运行正常后正式投产供气</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2、主要工艺简述如下：</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（1）管道焊接</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工程推荐采用半自动焊接，建议吊管机进行机械布管，内对口器进行组对，采用半自动焊进行焊接，沟上组焊，利用吊管机整体下沟。管道焊缝质量先进行外观检查，外观检查标准应符合《油水长输管道工程施工及验收规范》（GB50369-2006）的规定，合格后方可进行无损检测。管道焊接质量在外观检查合格后进行无损探伤检查，线路工程的所有焊缝均进行 100%超声波探，并应在进行 100%射线探伤复检，检查按照《石油天然气钢质管道无损检测》(SY/T4109-2005)标准执行，达到规定的Ⅱ级为合格，且不能有裂缝和未溶合焊缝。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（2）清管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分段试压前，应采用清管球（器）进行清管，清管介质应用空气。清管次数不少于 2 次，以开口端不再排除杂物为合格。分段清管应设临时清管器收发装置，清管器接受装置应选择在地势较高且50m 范围内没有建筑物和人口的的区域内，并应设警示标志。线路监控阀室不应参加清管。清管选用复合式清管器，清管球充水后直径过盈量应为管内径的5%~8%。清管时的最大压力不得超过管材最小屈服强度的 30%。清管器应适用于管线弯管的曲率半径。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（3）管道试压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本工程强度试压、严密性试压介质采用洁净水。管道河流大中型穿越应采用洁净水单独进行强度试压，试验压力按所在的地区等级来确定；严密性试验可与所在管道一并进行。分段试压的管段长度不宜超过 35km，强度试压时，低点环向应力达到 95%σs 为宜。试压分段进行，节约用水，避免水资源的浪费，部分试压用水过滤后可重复使用。此股废水中主要污染物为含少量铁锈、泥沙等悬浮物，根据国内其它管线建设经验，这部分废水经沉淀后可重复利用或直接外排。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（4）干燥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排水作业完成后，安放临时收、发球筒，对管段内的积水进行清扫，清扫的污物应排放到规定区域。扫水采用直板清管器，清扫应多次进行，直至没有流动的水。直板清管器扫水后，多次使用泡沫清管器（每隔 1h 发送一次）清管。在泡沫清管器后跟一个机械清管器，发送前和接收后称测泡沫清管器质量，连续 2 次称重含水量不应大于（1.5×D/1000）kg 为合格。管道干燥可采用干空气法（用露点低于-40℃的干燥空气）。干燥空气吹扫时，在管道末端配置水露点分析仪，以排处气体水露点连续 4h 比管输条件下最低环境温度低 5℃且变化幅度不大于 3℃为合格。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（5）置换空气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试压、吹扫、干燥完毕后，须采用氮气进行置换空气工作，以保证在未投产前管内的防锈蚀和天然气进气时的安全。用氮气置换空气时，当置换管道末端放空管口置换气中氧气浓度小于 2%，每间隔 5min 连续 3 次取样分析，均达到此指标为置换合格。</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（4）站场建设</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将新建1座站场，扩建1座站场。新建陵江清管站为无人值守清管站，主要建设清管装置区和放空区；扩建元坝首站仅在预留工艺区内进行增加工艺装置建设，辅助生产设施及放空系统依托于现有设施。项目建设主要为一般的土建工程施工，包括基础工程、主体工程、装饰工程、设备安装及工程验收等过程，施工工艺流程图见下图</w:t>
      </w:r>
    </w:p>
    <w:p>
      <w:pPr>
        <w:pStyle w:val="83"/>
        <w:ind w:firstLine="480"/>
        <w:jc w:val="cente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093970" cy="2312670"/>
            <wp:effectExtent l="0" t="0" r="11430" b="11430"/>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17"/>
                    <a:srcRect l="10171" t="29774" r="26661" b="19234"/>
                    <a:stretch>
                      <a:fillRect/>
                    </a:stretch>
                  </pic:blipFill>
                  <pic:spPr>
                    <a:xfrm>
                      <a:off x="0" y="0"/>
                      <a:ext cx="5093970" cy="2312670"/>
                    </a:xfrm>
                    <a:prstGeom prst="rect">
                      <a:avLst/>
                    </a:prstGeom>
                    <a:noFill/>
                    <a:ln>
                      <a:noFill/>
                    </a:ln>
                  </pic:spPr>
                </pic:pic>
              </a:graphicData>
            </a:graphic>
          </wp:inline>
        </w:drawing>
      </w:r>
    </w:p>
    <w:p>
      <w:pPr>
        <w:pStyle w:val="83"/>
        <w:ind w:firstLine="480"/>
        <w:jc w:val="center"/>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图</w:t>
      </w:r>
      <w:r>
        <w:rPr>
          <w:rFonts w:hint="default" w:ascii="Times New Roman" w:hAnsi="Times New Roman" w:eastAsia="宋体" w:cs="Times New Roman"/>
          <w:b/>
          <w:bCs/>
          <w:color w:val="auto"/>
          <w:lang w:val="en-US" w:eastAsia="zh-CN"/>
        </w:rPr>
        <w:t>3.1.2</w:t>
      </w:r>
      <w:r>
        <w:rPr>
          <w:rFonts w:hint="default" w:ascii="Times New Roman" w:hAnsi="Times New Roman" w:eastAsia="宋体" w:cs="Times New Roman"/>
          <w:b/>
          <w:bCs/>
          <w:color w:val="auto"/>
          <w:kern w:val="0"/>
          <w:sz w:val="24"/>
          <w:szCs w:val="24"/>
          <w:lang w:val="en-US" w:eastAsia="zh-CN" w:bidi="ar"/>
        </w:rPr>
        <w:t>施工工艺流程图</w:t>
      </w:r>
    </w:p>
    <w:p>
      <w:pPr>
        <w:keepNext w:val="0"/>
        <w:keepLines w:val="0"/>
        <w:widowControl/>
        <w:suppressLineNumbers w:val="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3.1.2 施工期环境影响分析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从管道施工过程可以看出，施工期对环境的影响主要来自管沟开挖、施工便道建设活动中施工机械、车辆和人员</w:t>
      </w:r>
      <w:r>
        <w:rPr>
          <w:rFonts w:hint="eastAsia" w:ascii="Times New Roman" w:hAnsi="Times New Roman" w:cs="Times New Roman"/>
          <w:color w:val="auto"/>
          <w:kern w:val="0"/>
          <w:sz w:val="24"/>
          <w:szCs w:val="24"/>
          <w:lang w:val="en-US" w:eastAsia="zh-CN" w:bidi="ar"/>
        </w:rPr>
        <w:t>踩</w:t>
      </w:r>
      <w:r>
        <w:rPr>
          <w:rFonts w:hint="default" w:ascii="Times New Roman" w:hAnsi="Times New Roman" w:eastAsia="宋体" w:cs="Times New Roman"/>
          <w:color w:val="auto"/>
          <w:kern w:val="0"/>
          <w:sz w:val="24"/>
          <w:szCs w:val="24"/>
          <w:lang w:val="en-US" w:eastAsia="zh-CN" w:bidi="ar"/>
        </w:rPr>
        <w:t>踏等对土壤的扰动和植被的破坏；工程占地对土地利用类型以及农、林、牧业生产的影响；河流、沟渠等穿越工程对地表水体质量和水体使用功能的影响；盾构隧道穿越工程产生的弃渣可能引起的水土流失等。此外，施工期间各种机械、车辆排放的废气和噪声、施工产生的固体废物、管道试压产生的废水、施工人员的生活废水等，也将对环境产生一定的影响。</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3.1.2.1 生态环境影响分析</w:t>
      </w:r>
      <w:r>
        <w:rPr>
          <w:rFonts w:hint="default" w:ascii="Times New Roman" w:hAnsi="Times New Roman" w:eastAsia="宋体" w:cs="Times New Roman"/>
          <w:color w:val="auto"/>
          <w:kern w:val="0"/>
          <w:sz w:val="24"/>
          <w:szCs w:val="24"/>
          <w:lang w:val="en-US" w:eastAsia="zh-CN" w:bidi="ar"/>
        </w:rPr>
        <w:t xml:space="preserve">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1、影响分析</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 施工作业带清理、管沟开挖和道路建设的影响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管道工程施工过程中的作业带清理、施工便道的建设以及管沟开挖作业总是同时进行的，在此期间所产生的渣土可以互相利用，其对生态环境的影响也大致相同。但是，不同地貌区段的施工活动所产生的影响也不尽相同。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 施工作业带清理、管沟开挖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管道施工前，首先要对施工作业带进行清理和平整，以便施工人员、车辆和机械通行，然后才能进行管沟开挖作业。本工程 D1016mm 管道，施工作业带宽度对于一般地段按24m计，管道穿越林地段可适当减小至20m。对于山区横坡敷设及坡度较陡等局部地段，开辟作业带时需要适当加宽施工作业带宽度，一般不超过30m。</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清理施工作业带对生态环境的影响主要表现为：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低山丘陵区。线路段为低山丘陵区，地势有一定起伏，局部分布林地，主要为公益林。由于管道沿线的丘陵和缓丘海拔不高，施工均采用开挖沟埋的方式。施工过程中会对地表植被造成破坏，管线穿越林地段施工作业带范围内的植被将会被全部清除，且施工结束后管线中心线两侧各 5m 范围内将不得种植深根性植物，因此施工结束后，将形成一条 10m左右宽的廊带。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开挖管沟是施工期对生态环境影响的最主要活动。本管道主要采用沟埋方式敷设，管沟开挖及布管实景见图 3.1-2。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施工中整个施工作业带范围内的土壤和植被都会受到扰动或破坏，尤其是在管沟两侧约 5m 的范围内，植被破坏严重；开挖管沟造成的土体扰动将使土壤的结构、组成及理化特性等发生变化，进而影响土壤的侵蚀状况、植被的恢复、农作物的生长发育等。管道线路施工中，敷设管道过程将会因置换而产生一部分弃土方，这些弃土将会对生态环境产生一定的影响，此外山区段施工作业带平整也将产生弃石方，弃土石倘若堆放不当，则容易引发水土流失。</w:t>
      </w:r>
    </w:p>
    <w:p>
      <w:pPr>
        <w:keepNext w:val="0"/>
        <w:keepLines w:val="0"/>
        <w:widowControl/>
        <w:suppressLineNumbers w:val="0"/>
        <w:spacing w:line="240" w:lineRule="auto"/>
        <w:jc w:val="left"/>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drawing>
          <wp:inline distT="0" distB="0" distL="114300" distR="114300">
            <wp:extent cx="4993640" cy="3750945"/>
            <wp:effectExtent l="0" t="0" r="16510" b="1905"/>
            <wp:docPr id="25" name="图片 25" descr="58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58966"/>
                    <pic:cNvPicPr>
                      <a:picLocks noChangeAspect="1"/>
                    </pic:cNvPicPr>
                  </pic:nvPicPr>
                  <pic:blipFill>
                    <a:blip r:embed="rId18"/>
                    <a:stretch>
                      <a:fillRect/>
                    </a:stretch>
                  </pic:blipFill>
                  <pic:spPr>
                    <a:xfrm>
                      <a:off x="0" y="0"/>
                      <a:ext cx="4993640" cy="3750945"/>
                    </a:xfrm>
                    <a:prstGeom prst="rect">
                      <a:avLst/>
                    </a:prstGeom>
                  </pic:spPr>
                </pic:pic>
              </a:graphicData>
            </a:graphic>
          </wp:inline>
        </w:drawing>
      </w:r>
    </w:p>
    <w:p>
      <w:pPr>
        <w:keepNext w:val="0"/>
        <w:keepLines w:val="0"/>
        <w:widowControl/>
        <w:suppressLineNumbers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24"/>
          <w:szCs w:val="24"/>
          <w:lang w:val="en-US" w:eastAsia="zh-CN" w:bidi="ar"/>
        </w:rPr>
        <w:t>图 3.1-2 天然气管道工程开挖实景图片</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 施工道路建设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施工便道建设是管道施工期间对生态环境产生影响的主要活动之一。该过程常会破坏表层土的土壤结构和理化性质、毁坏植被和破坏动物的生存环境等。因此，施工过程中要尽量充分利用现有道路(包含乡村路)，对于无乡村道路至管线位置的部分地段，可以在适当位置临时修筑一定长度的施工便道来满足施工要求。修建临时施工便道，施工便道分为新建和整修两种，新建施工便道临时征地，整修施工便道在现有乡村土路基础上修整，不进行征地。本工程新建施工便道3.52km，改扩建 5.24km，路基宽度 4.5m，路面宽度 3m。另工程需新建伴行道路 2km，整修伴行道路 8km，结合本工程特点，以及项目所处地区的地形条件，本工程道路主要技术标准如下：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①道路等级：四级；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②计算行车速度：15km/h；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③车道数：1；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④路基宽度：4.5m；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⑤路面宽度：3.5m；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⑥一般最小曲线半径：30m；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⑦极限最小曲线半径：15m；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⑧最大纵坡：13%；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⑨汽车荷载等级：公路-Ⅱ级</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 管道穿越工程的影响</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本管道的穿越工程包括河流、公路沟渠穿越。根据本工程的可行性研究报告描述，</w:t>
      </w:r>
      <w:r>
        <w:rPr>
          <w:rFonts w:hint="default" w:ascii="Times New Roman" w:hAnsi="Times New Roman" w:eastAsia="宋体" w:cs="Times New Roman"/>
          <w:color w:val="auto"/>
          <w:kern w:val="0"/>
          <w:sz w:val="24"/>
          <w:szCs w:val="24"/>
          <w:lang w:val="en-US" w:eastAsia="zh-CN" w:bidi="ar"/>
        </w:rPr>
        <w:t>本段线路长度约</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，河流大型穿越1次，沟渠和小河穿越15次，乡村公路穿越26次，碎石路和机耕道穿越18次，无高等级公路穿越</w:t>
      </w:r>
      <w:r>
        <w:rPr>
          <w:rFonts w:hint="default" w:ascii="Times New Roman" w:hAnsi="Times New Roman" w:eastAsia="宋体" w:cs="Times New Roman"/>
          <w:color w:val="auto"/>
          <w:lang w:val="en-US" w:eastAsia="zh-CN"/>
        </w:rPr>
        <w:t>。穿越工程将会对穿越点附近的生态环境产生一定的影响。</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（1）定向钻穿越东河</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定向钻穿越是目前较为常见的技术方法，是应用垂直钻井中所采用的定向钻技术发展起来的，主要包括钻机、动力源、泥浆系统、钻具、控向测量仪器及重型吊车、推土机等辅助设备。该技术主要特点为：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1、完全可以保证管道设计埋深，大型水域管道埋深一般可在河床以下 20m （不低于 6m）。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2、施工过程既不影响河道两侧的堤坝，又不影响航运和船舶抛锚，对水中生物也无影响；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3、施工周期短、施工人员少；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4、距离穿越水域的水面一般都较远，施工作业废水和固体废物不易污染水 体。</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定向钻施工过程：首先用泥浆通过钻杆推动钻头旋转破土前进，按照设计的管道穿越曲线钻导向孔。当钻杆进尺达十余根时，开始下冲洗管，并使钻杆与冲洗管交替钻进。在钻进过程中，随时通过控向装置掌握钻头所处位置，通过调整弯管壳的方向。使导向孔符合设计曲线。导向孔完成和冲洗管出土后，钻杆全部抽回，在冲洗管出土端，连接上切削刀、扩孔器、旋转接头和已预制好的管道，然后开始连接回拖，即在扩孔器扩孔的同时，将钻台上的卡盘向上移动，拉动扩孔器和管道前进，管道就逐渐地被敷设在扩大的孔中，直到管端在入土点露出，完成管道的穿越。钻孔和扩孔的泥屑均随泥浆返回地面。 </w:t>
      </w:r>
    </w:p>
    <w:p>
      <w:pPr>
        <w:keepNext w:val="0"/>
        <w:keepLines w:val="0"/>
        <w:widowControl/>
        <w:suppressLineNumbers w:val="0"/>
        <w:jc w:val="left"/>
        <w:rPr>
          <w:rFonts w:hint="default" w:ascii="Times New Roman" w:hAnsi="Times New Roman" w:eastAsia="宋体" w:cs="Times New Roman"/>
          <w:color w:val="auto"/>
          <w:vertAlign w:val="baseline"/>
        </w:rPr>
      </w:pPr>
      <w:r>
        <w:rPr>
          <w:rFonts w:hint="default" w:ascii="Times New Roman" w:hAnsi="Times New Roman" w:eastAsia="宋体" w:cs="Times New Roman"/>
          <w:color w:val="auto"/>
          <w:kern w:val="0"/>
          <w:sz w:val="24"/>
          <w:szCs w:val="24"/>
          <w:lang w:val="en-US" w:eastAsia="zh-CN" w:bidi="ar"/>
        </w:rPr>
        <w:t>施工中泥浆起护壁、润滑、冷却和冲洗钻头、清扫土屑、传递动力等作用，成份一般主要为膨润土和清水、少量（一般为 5%左右）的添加剂（羧甲基纤维素钠 CMC 等），无毒及无有害成分。泥浆在施工期间设置泥浆坑，重复利用，工程完成后剩余泥浆作为废物处置，一般采用自然干化后覆土掩埋恢复种植。定向钻穿越不开挖扰动河床，对航道、河道影响很小，扰动地表面积小，土石方开挖量小，施工周期短。从环保角度看该穿越方式是最合理可行的。定向钻施工示意图见下图</w:t>
      </w:r>
    </w:p>
    <w:tbl>
      <w:tblPr>
        <w:tblStyle w:val="25"/>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1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tcBorders>
              <w:tl2br w:val="nil"/>
              <w:tr2bl w:val="nil"/>
            </w:tcBorders>
          </w:tcPr>
          <w:p>
            <w:pPr>
              <w:keepNext w:val="0"/>
              <w:keepLines w:val="0"/>
              <w:widowControl/>
              <w:suppressLineNumbers w:val="0"/>
              <w:jc w:val="center"/>
              <w:rPr>
                <w:rFonts w:hint="default" w:ascii="Times New Roman" w:hAnsi="Times New Roman" w:eastAsia="宋体" w:cs="Times New Roman"/>
                <w:color w:val="auto"/>
                <w:vertAlign w:val="baseline"/>
              </w:rPr>
            </w:pPr>
            <w:r>
              <w:rPr>
                <w:rFonts w:hint="default" w:ascii="Times New Roman" w:hAnsi="Times New Roman" w:eastAsia="宋体" w:cs="Times New Roman"/>
                <w:b/>
                <w:bCs/>
                <w:color w:val="auto"/>
                <w:kern w:val="0"/>
                <w:sz w:val="24"/>
                <w:szCs w:val="24"/>
                <w:lang w:val="en-US" w:eastAsia="zh-CN" w:bidi="ar"/>
              </w:rPr>
              <w:t>图3.1-2入土场地示意图</w:t>
            </w:r>
            <w:r>
              <w:rPr>
                <w:rFonts w:hint="default" w:ascii="Times New Roman" w:hAnsi="Times New Roman" w:eastAsia="宋体" w:cs="Times New Roman"/>
                <w:color w:val="auto"/>
              </w:rPr>
              <w:drawing>
                <wp:anchor distT="0" distB="0" distL="114300" distR="114300" simplePos="0" relativeHeight="251666432" behindDoc="0" locked="0" layoutInCell="1" allowOverlap="1">
                  <wp:simplePos x="0" y="0"/>
                  <wp:positionH relativeFrom="column">
                    <wp:posOffset>304800</wp:posOffset>
                  </wp:positionH>
                  <wp:positionV relativeFrom="paragraph">
                    <wp:posOffset>-3280410</wp:posOffset>
                  </wp:positionV>
                  <wp:extent cx="5399405" cy="3511550"/>
                  <wp:effectExtent l="0" t="0" r="10795" b="12700"/>
                  <wp:wrapTopAndBottom/>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19"/>
                          <a:stretch>
                            <a:fillRect/>
                          </a:stretch>
                        </pic:blipFill>
                        <pic:spPr>
                          <a:xfrm>
                            <a:off x="0" y="0"/>
                            <a:ext cx="5399405" cy="3511550"/>
                          </a:xfrm>
                          <a:prstGeom prst="rect">
                            <a:avLst/>
                          </a:prstGeom>
                          <a:noFill/>
                          <a:ln>
                            <a:noFill/>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tcBorders>
              <w:tl2br w:val="nil"/>
              <w:tr2bl w:val="nil"/>
            </w:tcBorders>
          </w:tcPr>
          <w:p>
            <w:pPr>
              <w:keepNext w:val="0"/>
              <w:keepLines w:val="0"/>
              <w:widowControl/>
              <w:suppressLineNumbers w:val="0"/>
              <w:jc w:val="center"/>
              <w:rPr>
                <w:rFonts w:hint="default" w:ascii="Times New Roman" w:hAnsi="Times New Roman" w:eastAsia="宋体" w:cs="Times New Roman"/>
                <w:color w:val="auto"/>
                <w:vertAlign w:val="baseline"/>
              </w:rPr>
            </w:pPr>
            <w:r>
              <w:rPr>
                <w:rFonts w:hint="default" w:ascii="Times New Roman" w:hAnsi="Times New Roman" w:eastAsia="宋体" w:cs="Times New Roman"/>
                <w:b/>
                <w:bCs/>
                <w:color w:val="auto"/>
                <w:kern w:val="0"/>
                <w:sz w:val="24"/>
                <w:szCs w:val="24"/>
                <w:lang w:val="en-US" w:eastAsia="zh-CN" w:bidi="ar"/>
              </w:rPr>
              <w:t>图3.1-3出土场地示意图</w:t>
            </w:r>
            <w:r>
              <w:rPr>
                <w:rFonts w:hint="default" w:ascii="Times New Roman" w:hAnsi="Times New Roman" w:eastAsia="宋体" w:cs="Times New Roman"/>
                <w:color w:val="auto"/>
              </w:rPr>
              <w:drawing>
                <wp:anchor distT="0" distB="0" distL="114300" distR="114300" simplePos="0" relativeHeight="251667456" behindDoc="0" locked="0" layoutInCell="1" allowOverlap="1">
                  <wp:simplePos x="0" y="0"/>
                  <wp:positionH relativeFrom="column">
                    <wp:posOffset>390525</wp:posOffset>
                  </wp:positionH>
                  <wp:positionV relativeFrom="paragraph">
                    <wp:posOffset>-805815</wp:posOffset>
                  </wp:positionV>
                  <wp:extent cx="5314950" cy="3576320"/>
                  <wp:effectExtent l="0" t="0" r="0" b="5080"/>
                  <wp:wrapTopAndBottom/>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pic:cNvPicPr>
                        </pic:nvPicPr>
                        <pic:blipFill>
                          <a:blip r:embed="rId20"/>
                          <a:stretch>
                            <a:fillRect/>
                          </a:stretch>
                        </pic:blipFill>
                        <pic:spPr>
                          <a:xfrm>
                            <a:off x="0" y="0"/>
                            <a:ext cx="5314950" cy="3576320"/>
                          </a:xfrm>
                          <a:prstGeom prst="rect">
                            <a:avLst/>
                          </a:prstGeom>
                          <a:noFill/>
                          <a:ln>
                            <a:noFill/>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tcBorders>
              <w:tl2br w:val="nil"/>
              <w:tr2bl w:val="nil"/>
            </w:tcBorders>
          </w:tcPr>
          <w:p>
            <w:pPr>
              <w:keepNext w:val="0"/>
              <w:keepLines w:val="0"/>
              <w:widowControl/>
              <w:suppressLineNumbers w:val="0"/>
              <w:ind w:left="0" w:leftChars="0" w:firstLine="0" w:firstLineChars="0"/>
              <w:jc w:val="center"/>
              <w:rPr>
                <w:rFonts w:hint="default" w:ascii="Times New Roman" w:hAnsi="Times New Roman" w:eastAsia="宋体" w:cs="Times New Roman"/>
                <w:color w:val="auto"/>
                <w:vertAlign w:val="baseline"/>
              </w:rPr>
            </w:pPr>
            <w:r>
              <w:rPr>
                <w:rFonts w:hint="default" w:ascii="Times New Roman" w:hAnsi="Times New Roman" w:eastAsia="宋体" w:cs="Times New Roman"/>
                <w:color w:val="auto"/>
              </w:rPr>
              <w:drawing>
                <wp:anchor distT="0" distB="0" distL="114300" distR="114300" simplePos="0" relativeHeight="251669504" behindDoc="0" locked="0" layoutInCell="1" allowOverlap="1">
                  <wp:simplePos x="0" y="0"/>
                  <wp:positionH relativeFrom="column">
                    <wp:posOffset>0</wp:posOffset>
                  </wp:positionH>
                  <wp:positionV relativeFrom="paragraph">
                    <wp:posOffset>-1318260</wp:posOffset>
                  </wp:positionV>
                  <wp:extent cx="5561965" cy="2125980"/>
                  <wp:effectExtent l="0" t="0" r="635" b="7620"/>
                  <wp:wrapTopAndBottom/>
                  <wp:docPr id="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4"/>
                          <pic:cNvPicPr>
                            <a:picLocks noChangeAspect="1"/>
                          </pic:cNvPicPr>
                        </pic:nvPicPr>
                        <pic:blipFill>
                          <a:blip r:embed="rId21"/>
                          <a:stretch>
                            <a:fillRect/>
                          </a:stretch>
                        </pic:blipFill>
                        <pic:spPr>
                          <a:xfrm>
                            <a:off x="0" y="0"/>
                            <a:ext cx="5561965" cy="2125980"/>
                          </a:xfrm>
                          <a:prstGeom prst="rect">
                            <a:avLst/>
                          </a:prstGeom>
                          <a:noFill/>
                          <a:ln>
                            <a:noFill/>
                          </a:ln>
                        </pic:spPr>
                      </pic:pic>
                    </a:graphicData>
                  </a:graphic>
                </wp:anchor>
              </w:drawing>
            </w:r>
            <w:r>
              <w:rPr>
                <w:rFonts w:hint="default" w:ascii="Times New Roman" w:hAnsi="Times New Roman" w:eastAsia="宋体" w:cs="Times New Roman"/>
                <w:b/>
                <w:bCs/>
                <w:color w:val="auto"/>
                <w:kern w:val="0"/>
                <w:sz w:val="24"/>
                <w:szCs w:val="24"/>
                <w:lang w:val="en-US" w:eastAsia="zh-CN" w:bidi="ar"/>
              </w:rPr>
              <w:t>图3.1-4钻导向孔示意图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tcBorders>
              <w:tl2br w:val="nil"/>
              <w:tr2bl w:val="nil"/>
            </w:tcBorders>
          </w:tcPr>
          <w:p>
            <w:pPr>
              <w:keepNext w:val="0"/>
              <w:keepLines w:val="0"/>
              <w:widowControl/>
              <w:suppressLineNumbers w:val="0"/>
              <w:ind w:left="0" w:leftChars="0" w:firstLine="0" w:firstLineChars="0"/>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图3.1-5预扩孔示意图</w:t>
            </w:r>
            <w:r>
              <w:rPr>
                <w:rFonts w:hint="default" w:ascii="Times New Roman" w:hAnsi="Times New Roman" w:eastAsia="宋体" w:cs="Times New Roman"/>
                <w:b/>
                <w:bCs/>
                <w:color w:val="auto"/>
                <w:kern w:val="0"/>
                <w:sz w:val="24"/>
                <w:szCs w:val="24"/>
                <w:lang w:val="en-US" w:eastAsia="zh-CN" w:bidi="ar"/>
              </w:rPr>
              <w:drawing>
                <wp:anchor distT="0" distB="0" distL="114300" distR="114300" simplePos="0" relativeHeight="251668480" behindDoc="0" locked="0" layoutInCell="1" allowOverlap="1">
                  <wp:simplePos x="0" y="0"/>
                  <wp:positionH relativeFrom="column">
                    <wp:posOffset>304800</wp:posOffset>
                  </wp:positionH>
                  <wp:positionV relativeFrom="paragraph">
                    <wp:posOffset>146050</wp:posOffset>
                  </wp:positionV>
                  <wp:extent cx="5290820" cy="2035175"/>
                  <wp:effectExtent l="0" t="0" r="5080" b="3175"/>
                  <wp:wrapTopAndBottom/>
                  <wp:docPr id="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3"/>
                          <pic:cNvPicPr>
                            <a:picLocks noChangeAspect="1"/>
                          </pic:cNvPicPr>
                        </pic:nvPicPr>
                        <pic:blipFill>
                          <a:blip r:embed="rId22"/>
                          <a:stretch>
                            <a:fillRect/>
                          </a:stretch>
                        </pic:blipFill>
                        <pic:spPr>
                          <a:xfrm>
                            <a:off x="0" y="0"/>
                            <a:ext cx="5290820" cy="2035175"/>
                          </a:xfrm>
                          <a:prstGeom prst="rect">
                            <a:avLst/>
                          </a:prstGeom>
                          <a:noFill/>
                          <a:ln>
                            <a:noFill/>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tcBorders>
              <w:tl2br w:val="nil"/>
              <w:tr2bl w:val="nil"/>
            </w:tcBorders>
          </w:tcPr>
          <w:p>
            <w:pPr>
              <w:keepNext w:val="0"/>
              <w:keepLines w:val="0"/>
              <w:widowControl/>
              <w:suppressLineNumbers w:val="0"/>
              <w:jc w:val="center"/>
              <w:rPr>
                <w:rFonts w:hint="default" w:ascii="Times New Roman" w:hAnsi="Times New Roman" w:eastAsia="宋体" w:cs="Times New Roman"/>
                <w:color w:val="auto"/>
                <w:vertAlign w:val="baseline"/>
              </w:rPr>
            </w:pPr>
            <w:r>
              <w:rPr>
                <w:rFonts w:hint="default" w:ascii="Times New Roman" w:hAnsi="Times New Roman" w:eastAsia="宋体" w:cs="Times New Roman"/>
                <w:b/>
                <w:bCs/>
                <w:color w:val="auto"/>
                <w:kern w:val="0"/>
                <w:sz w:val="24"/>
                <w:szCs w:val="24"/>
                <w:lang w:val="en-US" w:eastAsia="zh-CN" w:bidi="ar"/>
              </w:rPr>
              <w:t>图3.1-</w:t>
            </w:r>
            <w:r>
              <w:rPr>
                <w:rFonts w:hint="default" w:ascii="Times New Roman" w:hAnsi="Times New Roman" w:eastAsia="宋体" w:cs="Times New Roman"/>
                <w:color w:val="auto"/>
              </w:rPr>
              <w:drawing>
                <wp:anchor distT="0" distB="0" distL="114300" distR="114300" simplePos="0" relativeHeight="251670528" behindDoc="0" locked="0" layoutInCell="1" allowOverlap="1">
                  <wp:simplePos x="0" y="0"/>
                  <wp:positionH relativeFrom="column">
                    <wp:posOffset>304800</wp:posOffset>
                  </wp:positionH>
                  <wp:positionV relativeFrom="paragraph">
                    <wp:posOffset>88900</wp:posOffset>
                  </wp:positionV>
                  <wp:extent cx="5108575" cy="1964690"/>
                  <wp:effectExtent l="0" t="0" r="15875" b="16510"/>
                  <wp:wrapTopAndBottom/>
                  <wp:docPr id="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5"/>
                          <pic:cNvPicPr>
                            <a:picLocks noChangeAspect="1"/>
                          </pic:cNvPicPr>
                        </pic:nvPicPr>
                        <pic:blipFill>
                          <a:blip r:embed="rId23"/>
                          <a:stretch>
                            <a:fillRect/>
                          </a:stretch>
                        </pic:blipFill>
                        <pic:spPr>
                          <a:xfrm>
                            <a:off x="0" y="0"/>
                            <a:ext cx="5108575" cy="1964690"/>
                          </a:xfrm>
                          <a:prstGeom prst="rect">
                            <a:avLst/>
                          </a:prstGeom>
                          <a:noFill/>
                          <a:ln>
                            <a:noFill/>
                          </a:ln>
                        </pic:spPr>
                      </pic:pic>
                    </a:graphicData>
                  </a:graphic>
                </wp:anchor>
              </w:drawing>
            </w:r>
            <w:r>
              <w:rPr>
                <w:rFonts w:hint="default" w:ascii="Times New Roman" w:hAnsi="Times New Roman" w:eastAsia="宋体" w:cs="Times New Roman"/>
                <w:b/>
                <w:bCs/>
                <w:color w:val="auto"/>
                <w:kern w:val="0"/>
                <w:sz w:val="24"/>
                <w:szCs w:val="24"/>
                <w:lang w:val="en-US" w:eastAsia="zh-CN" w:bidi="ar"/>
              </w:rPr>
              <w:t>6管线回拖示意图</w:t>
            </w:r>
          </w:p>
        </w:tc>
      </w:tr>
    </w:tbl>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定向钻穿越可常年施工，不受季节限制；不开挖扰动河床，对航道、河道影响很小，扰动地表面积小，土石方开挖量小，施工周期短。施工中泥浆起护壁、润滑、冷却和冲洗钻头、清扫土屑、传递动力等作用，成份一般主要为膨润土和清水、少量（一般为 5%左右）的添加剂（羧甲基纤维素钠 CMC 等），无毒无害。</w:t>
      </w:r>
    </w:p>
    <w:p>
      <w:pPr>
        <w:keepNext w:val="0"/>
        <w:keepLines w:val="0"/>
        <w:widowControl/>
        <w:suppressLineNumbers w:val="0"/>
        <w:ind w:left="0" w:leftChars="0" w:firstLine="480" w:firstLineChars="20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但定向钻施工也会产生一些环境问题，主要包括施工场地的临时占地、施工现场的钻屑沉淀池和泥浆收集池有可能泄漏污染水体；施工结束后还将产生废弃泥浆和钻屑。施工所用泥浆的主要成分是膨润土和少量(一般为 5%左右)的添加剂(羧甲基纤维素钠 CMC)、Na2CO3，呈弱碱性。钻屑和废弃泥浆一旦进入水体会使河水中悬浮物显著升高，其他影响较小。对废泥浆的处置一般采用异地自然干化后覆土掩埋恢复种植的方法；对废钻屑，一般可用来加筑堤坝或平整场地，对周围环境和水体水质影响不大。从环保角度看该穿越方式合理可行。</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（2）大开挖穿越河流、沟渠</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本段河流、沟渠小型穿越共计15处，总长度450m，均采用大开挖穿越方式。</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开挖方式适合于河水较浅，水流量较小，河漫滩较宽阔，管沟开挖成沟容易，河床底层较稳定的河流。</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大开挖施工作业一般选在枯水期进行，枯水期施工无需导流、围堰和降水等措施。若确需在有水时施工，需采取围堰导流方式施</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① 首先开挖导流渠，其横断面根据河水流量情况确定。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② 完成导流沟开挖后，立即进行围堰施工，围堰形式可以采用草袋围堰、草土围堰、竹笼围堰等，根据穿越地段的土质情况、管道埋深和河流 流向，确定河流上游和下游两道围堰之间的距离，围堰尺寸分别为：顶宽3～5m，坡度为 1：1～1：1.5，堰高应高于河面 1m～1.5m。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③ 考虑到坝的防渗功能，可在两条坝的迎水面上用无纺布作防渗层。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④ 在完成围堰施工后，立即采用水泵进行抽水，将上、下游堰体内的积水排到堰外。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⑤ 开挖管沟，并进行管道焊接、安装施工：采用管段上加混凝土压块进行稳管处理，管道埋深在河底稳定层中，管顶埋深约在河流最大冲刷层以下 1m。</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⑥ 最后进行管沟回填(回填物由下至上由细到粗，两岸陡坡设浆砌块石护岸)、围堰拆除、导流沟回填，恢复原貌。并需通过环保、水利等部门现场验收。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其中围堰拆除要求为：管沟回填完成后，先拆除下游围堰，并将围堰土推到河岸边缘，然后拆除上游围堰，上游围堰宜用单斗采用后退方法进行拆除，将堰体土用于回填导流沟，或根据环保或水利部门要求外运或另行处理。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开挖方式施工工艺简单、工期短。仅施工时对河道和环境有影响，完工后恢复原貌后，可消除影响。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大开挖方式对河流的影响主要为施工机械施工寸用油的跑冒滴漏等进入水体对所施工河流产生影响，并且由于地表开挖导致河底底泥外露，会导致施工河段暂时的悬浮物增高。由于采用大开挖方式穿越的水体一般较窄，开挖时间较短，一般不会超过3天。施工河段暂时增高的悬浮物主要产生于底泥开它时的泥土，由于施工时一般在枯水期或上游节制刊落闸期间，因此施工河段的流速一般很小或静流，河流中产生的悬浮物一般会在短距离内沉降，不会对河流产生大范围的影响；因此，地表水体开挖时主要是防止施工机械用油的跑冒滴露。</w:t>
      </w:r>
    </w:p>
    <w:p>
      <w:pPr>
        <w:keepNext w:val="0"/>
        <w:keepLines w:val="0"/>
        <w:widowControl/>
        <w:suppressLineNumbers w:val="0"/>
        <w:jc w:val="center"/>
        <w:rPr>
          <w:rFonts w:hint="default" w:ascii="Times New Roman" w:hAnsi="Times New Roman" w:eastAsia="宋体" w:cs="Times New Roman"/>
          <w:b/>
          <w:bCs/>
          <w:color w:val="auto"/>
          <w:kern w:val="0"/>
          <w:sz w:val="24"/>
          <w:szCs w:val="24"/>
          <w:lang w:val="en-US" w:eastAsia="zh-CN" w:bidi="ar"/>
        </w:rPr>
      </w:pPr>
    </w:p>
    <w:p>
      <w:pPr>
        <w:keepNext w:val="0"/>
        <w:keepLines w:val="0"/>
        <w:widowControl/>
        <w:suppressLineNumbers w:val="0"/>
        <w:spacing w:line="240" w:lineRule="auto"/>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color w:val="auto"/>
        </w:rPr>
        <w:drawing>
          <wp:inline distT="0" distB="0" distL="114300" distR="114300">
            <wp:extent cx="5166360" cy="3027680"/>
            <wp:effectExtent l="0" t="0" r="15240" b="1270"/>
            <wp:docPr id="4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9"/>
                    <pic:cNvPicPr>
                      <a:picLocks noChangeAspect="1"/>
                    </pic:cNvPicPr>
                  </pic:nvPicPr>
                  <pic:blipFill>
                    <a:blip r:embed="rId24"/>
                    <a:srcRect l="10885" t="27094" r="24283" b="5359"/>
                    <a:stretch>
                      <a:fillRect/>
                    </a:stretch>
                  </pic:blipFill>
                  <pic:spPr>
                    <a:xfrm>
                      <a:off x="0" y="0"/>
                      <a:ext cx="5166360" cy="3027680"/>
                    </a:xfrm>
                    <a:prstGeom prst="rect">
                      <a:avLst/>
                    </a:prstGeom>
                    <a:noFill/>
                    <a:ln>
                      <a:noFill/>
                    </a:ln>
                  </pic:spPr>
                </pic:pic>
              </a:graphicData>
            </a:graphic>
          </wp:inline>
        </w:drawing>
      </w:r>
    </w:p>
    <w:p>
      <w:pPr>
        <w:keepNext w:val="0"/>
        <w:keepLines w:val="0"/>
        <w:widowControl/>
        <w:suppressLineNumbers w:val="0"/>
        <w:spacing w:line="240" w:lineRule="auto"/>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color w:val="auto"/>
        </w:rPr>
        <w:drawing>
          <wp:inline distT="0" distB="0" distL="114300" distR="114300">
            <wp:extent cx="5553710" cy="3808730"/>
            <wp:effectExtent l="0" t="0" r="8890" b="1270"/>
            <wp:docPr id="4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0"/>
                    <pic:cNvPicPr>
                      <a:picLocks noChangeAspect="1"/>
                    </pic:cNvPicPr>
                  </pic:nvPicPr>
                  <pic:blipFill>
                    <a:blip r:embed="rId25"/>
                    <a:srcRect l="15775" t="25069" r="33348" b="12902"/>
                    <a:stretch>
                      <a:fillRect/>
                    </a:stretch>
                  </pic:blipFill>
                  <pic:spPr>
                    <a:xfrm>
                      <a:off x="0" y="0"/>
                      <a:ext cx="5553710" cy="3808730"/>
                    </a:xfrm>
                    <a:prstGeom prst="rect">
                      <a:avLst/>
                    </a:prstGeom>
                    <a:noFill/>
                    <a:ln>
                      <a:noFill/>
                    </a:ln>
                  </pic:spPr>
                </pic:pic>
              </a:graphicData>
            </a:graphic>
          </wp:inline>
        </w:drawing>
      </w:r>
    </w:p>
    <w:p>
      <w:pPr>
        <w:keepNext w:val="0"/>
        <w:keepLines w:val="0"/>
        <w:widowControl/>
        <w:suppressLineNumbers w:val="0"/>
        <w:spacing w:line="240" w:lineRule="auto"/>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color w:val="auto"/>
        </w:rPr>
        <w:drawing>
          <wp:inline distT="0" distB="0" distL="114300" distR="114300">
            <wp:extent cx="5098415" cy="3317875"/>
            <wp:effectExtent l="0" t="0" r="6985" b="15875"/>
            <wp:docPr id="4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1"/>
                    <pic:cNvPicPr>
                      <a:picLocks noChangeAspect="1"/>
                    </pic:cNvPicPr>
                  </pic:nvPicPr>
                  <pic:blipFill>
                    <a:blip r:embed="rId26"/>
                    <a:srcRect l="17584" t="18122" r="24707" b="15125"/>
                    <a:stretch>
                      <a:fillRect/>
                    </a:stretch>
                  </pic:blipFill>
                  <pic:spPr>
                    <a:xfrm>
                      <a:off x="0" y="0"/>
                      <a:ext cx="5098415" cy="3317875"/>
                    </a:xfrm>
                    <a:prstGeom prst="rect">
                      <a:avLst/>
                    </a:prstGeom>
                    <a:noFill/>
                    <a:ln>
                      <a:noFill/>
                    </a:ln>
                  </pic:spPr>
                </pic:pic>
              </a:graphicData>
            </a:graphic>
          </wp:inline>
        </w:drawing>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（3）公路穿越</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乡村公路穿越26次，总计520m，碎石路和机耕道18次，总计360m，无等级公路穿越。对于乡村公路采用顶管方式进行，碎石路和机耕道采用开挖+混凝土盖板进行。管道与公路的交角宜尽量控制在60º以上，以减少穿越长度。开挖穿越的水泥路，采用标号为C25 素混凝土恢复路面，厚度不小于原路面厚度且不小于10cm，若原路面厚度小于10cm，应在原路面下缘向下加厚路面厚度。</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顶管法可分为一般顶管和泥水平衡顶管，一般顶管法施工是在地下工作坑内，借助顶进设备的顶力将管道逐渐顶入土中，并将阻挡管道向前顶进的土壤，从管内用人工或机械挖出。这种方法比开槽挖土减少了大量的土方，并节约施工用地，特别是要穿越建筑物时，采用此法更为有利。施工中除产生少量的弃土外，对环境影响不大。穿越低等级公路时，采用大开挖方式施工，将造成短时交通影响和产生少量弃土。泥水平衡式顶管以泥水压力来平衡土压力和地下水压力，又以泥水作为输送弃土介质的机械自动化顶管施工法。泥水平衡顶管系统主要由顶管机头、地面操作台及其他辅助设备组成，机头内部有 PLC 控制箱，地面操作台队机头给出动作信号控制机头的动作。排泥系统将弃土排除，吊车下管，由千斤顶将管道分段顶进。随着工具管的推进，刀盘在不断转动，进泥管不断供泥水，排泥管不断将混有弃土的泥水排出泥水舱。</w:t>
      </w:r>
    </w:p>
    <w:tbl>
      <w:tblPr>
        <w:tblStyle w:val="2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1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74" w:type="dxa"/>
            <w:tcBorders>
              <w:tl2br w:val="nil"/>
              <w:tr2bl w:val="nil"/>
            </w:tcBorders>
          </w:tcPr>
          <w:p>
            <w:pPr>
              <w:keepNext w:val="0"/>
              <w:keepLines w:val="0"/>
              <w:widowControl/>
              <w:suppressLineNumbers w:val="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rPr>
              <w:drawing>
                <wp:anchor distT="0" distB="0" distL="114300" distR="114300" simplePos="0" relativeHeight="251671552" behindDoc="0" locked="0" layoutInCell="1" allowOverlap="1">
                  <wp:simplePos x="0" y="0"/>
                  <wp:positionH relativeFrom="column">
                    <wp:posOffset>591185</wp:posOffset>
                  </wp:positionH>
                  <wp:positionV relativeFrom="paragraph">
                    <wp:posOffset>104775</wp:posOffset>
                  </wp:positionV>
                  <wp:extent cx="5450205" cy="2214245"/>
                  <wp:effectExtent l="0" t="0" r="17145" b="14605"/>
                  <wp:wrapTopAndBottom/>
                  <wp:docPr id="4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2"/>
                          <pic:cNvPicPr>
                            <a:picLocks noChangeAspect="1"/>
                          </pic:cNvPicPr>
                        </pic:nvPicPr>
                        <pic:blipFill>
                          <a:blip r:embed="rId27"/>
                          <a:stretch>
                            <a:fillRect/>
                          </a:stretch>
                        </pic:blipFill>
                        <pic:spPr>
                          <a:xfrm>
                            <a:off x="0" y="0"/>
                            <a:ext cx="5450205" cy="2214245"/>
                          </a:xfrm>
                          <a:prstGeom prst="rect">
                            <a:avLst/>
                          </a:prstGeom>
                          <a:noFill/>
                          <a:ln>
                            <a:noFill/>
                          </a:ln>
                        </pic:spPr>
                      </pic:pic>
                    </a:graphicData>
                  </a:graphic>
                </wp:anchor>
              </w:drawing>
            </w:r>
            <w:r>
              <w:rPr>
                <w:rFonts w:hint="default" w:ascii="Times New Roman" w:hAnsi="Times New Roman" w:eastAsia="宋体" w:cs="Times New Roman"/>
                <w:b/>
                <w:bCs/>
                <w:color w:val="auto"/>
                <w:sz w:val="24"/>
                <w:szCs w:val="24"/>
                <w:vertAlign w:val="baseline"/>
              </w:rPr>
              <w:t>图 3.1-</w:t>
            </w:r>
            <w:r>
              <w:rPr>
                <w:rFonts w:hint="default" w:ascii="Times New Roman" w:hAnsi="Times New Roman" w:eastAsia="宋体" w:cs="Times New Roman"/>
                <w:b/>
                <w:bCs/>
                <w:color w:val="auto"/>
                <w:sz w:val="24"/>
                <w:szCs w:val="24"/>
                <w:vertAlign w:val="baseline"/>
                <w:lang w:val="en-US" w:eastAsia="zh-CN"/>
              </w:rPr>
              <w:t>9</w:t>
            </w:r>
            <w:r>
              <w:rPr>
                <w:rFonts w:hint="default" w:ascii="Times New Roman" w:hAnsi="Times New Roman" w:eastAsia="宋体" w:cs="Times New Roman"/>
                <w:b/>
                <w:bCs/>
                <w:color w:val="auto"/>
                <w:sz w:val="24"/>
                <w:szCs w:val="24"/>
                <w:vertAlign w:val="baseline"/>
              </w:rPr>
              <w:t xml:space="preserve">  顶管穿越公路平面布置示意图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0" w:hRule="atLeast"/>
        </w:trPr>
        <w:tc>
          <w:tcPr>
            <w:tcW w:w="9174" w:type="dxa"/>
            <w:tcBorders>
              <w:tl2br w:val="nil"/>
              <w:tr2bl w:val="nil"/>
            </w:tcBorders>
          </w:tcPr>
          <w:p>
            <w:pPr>
              <w:keepNext w:val="0"/>
              <w:keepLines w:val="0"/>
              <w:widowControl/>
              <w:suppressLineNumbers w:val="0"/>
              <w:jc w:val="center"/>
              <w:rPr>
                <w:rFonts w:hint="default" w:ascii="Times New Roman" w:hAnsi="Times New Roman" w:eastAsia="宋体" w:cs="Times New Roman"/>
                <w:color w:val="auto"/>
              </w:rPr>
            </w:pPr>
            <w:r>
              <w:rPr>
                <w:rFonts w:hint="default" w:ascii="Times New Roman" w:hAnsi="Times New Roman" w:eastAsia="宋体" w:cs="Times New Roman"/>
                <w:b/>
                <w:bCs/>
                <w:color w:val="auto"/>
              </w:rPr>
              <w:t>图 3.1-</w:t>
            </w:r>
            <w:r>
              <w:rPr>
                <w:rFonts w:hint="default" w:ascii="Times New Roman" w:hAnsi="Times New Roman" w:eastAsia="宋体" w:cs="Times New Roman"/>
                <w:b/>
                <w:bCs/>
                <w:color w:val="auto"/>
                <w:lang w:val="en-US" w:eastAsia="zh-CN"/>
              </w:rPr>
              <w:t>10</w:t>
            </w:r>
            <w:r>
              <w:rPr>
                <w:rFonts w:hint="default" w:ascii="Times New Roman" w:hAnsi="Times New Roman" w:eastAsia="宋体" w:cs="Times New Roman"/>
                <w:b/>
                <w:bCs/>
                <w:color w:val="auto"/>
              </w:rPr>
              <w:t xml:space="preserve">  一般顶管施工工艺示意图</w:t>
            </w:r>
            <w:r>
              <w:rPr>
                <w:rFonts w:hint="default" w:ascii="Times New Roman" w:hAnsi="Times New Roman" w:eastAsia="宋体" w:cs="Times New Roman"/>
                <w:color w:val="auto"/>
              </w:rPr>
              <w:drawing>
                <wp:anchor distT="0" distB="0" distL="114300" distR="114300" simplePos="0" relativeHeight="251672576" behindDoc="0" locked="0" layoutInCell="1" allowOverlap="1">
                  <wp:simplePos x="0" y="0"/>
                  <wp:positionH relativeFrom="column">
                    <wp:posOffset>948690</wp:posOffset>
                  </wp:positionH>
                  <wp:positionV relativeFrom="paragraph">
                    <wp:posOffset>-1965960</wp:posOffset>
                  </wp:positionV>
                  <wp:extent cx="4483100" cy="2424430"/>
                  <wp:effectExtent l="0" t="0" r="12700" b="13970"/>
                  <wp:wrapTopAndBottom/>
                  <wp:docPr id="4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3"/>
                          <pic:cNvPicPr>
                            <a:picLocks noChangeAspect="1"/>
                          </pic:cNvPicPr>
                        </pic:nvPicPr>
                        <pic:blipFill>
                          <a:blip r:embed="rId28"/>
                          <a:stretch>
                            <a:fillRect/>
                          </a:stretch>
                        </pic:blipFill>
                        <pic:spPr>
                          <a:xfrm>
                            <a:off x="0" y="0"/>
                            <a:ext cx="4483100" cy="2424430"/>
                          </a:xfrm>
                          <a:prstGeom prst="rect">
                            <a:avLst/>
                          </a:prstGeom>
                          <a:noFill/>
                          <a:ln>
                            <a:noFill/>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174" w:type="dxa"/>
            <w:tcBorders>
              <w:tl2br w:val="nil"/>
              <w:tr2bl w:val="nil"/>
            </w:tcBorders>
          </w:tcPr>
          <w:p>
            <w:pPr>
              <w:keepNext w:val="0"/>
              <w:keepLines w:val="0"/>
              <w:widowControl/>
              <w:suppressLineNumbers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图 3.1-1</w:t>
            </w:r>
            <w:r>
              <w:rPr>
                <w:rFonts w:hint="default" w:ascii="Times New Roman" w:hAnsi="Times New Roman" w:eastAsia="宋体" w:cs="Times New Roman"/>
                <w:b/>
                <w:bCs/>
                <w:color w:val="auto"/>
                <w:lang w:val="en-US" w:eastAsia="zh-CN"/>
              </w:rPr>
              <w:t>1</w:t>
            </w:r>
            <w:r>
              <w:rPr>
                <w:rFonts w:hint="default" w:ascii="Times New Roman" w:hAnsi="Times New Roman" w:eastAsia="宋体" w:cs="Times New Roman"/>
                <w:b/>
                <w:bCs/>
                <w:color w:val="auto"/>
              </w:rPr>
              <w:t xml:space="preserve">  泥水平衡法顶管施工工艺示意图 </w:t>
            </w:r>
            <w:r>
              <w:rPr>
                <w:rFonts w:hint="default" w:ascii="Times New Roman" w:hAnsi="Times New Roman" w:eastAsia="宋体" w:cs="Times New Roman"/>
                <w:color w:val="auto"/>
              </w:rPr>
              <w:drawing>
                <wp:anchor distT="0" distB="0" distL="114300" distR="114300" simplePos="0" relativeHeight="251673600" behindDoc="0" locked="0" layoutInCell="1" allowOverlap="1">
                  <wp:simplePos x="0" y="0"/>
                  <wp:positionH relativeFrom="column">
                    <wp:posOffset>948690</wp:posOffset>
                  </wp:positionH>
                  <wp:positionV relativeFrom="paragraph">
                    <wp:posOffset>-2689860</wp:posOffset>
                  </wp:positionV>
                  <wp:extent cx="4086225" cy="2924175"/>
                  <wp:effectExtent l="0" t="0" r="9525" b="9525"/>
                  <wp:wrapTopAndBottom/>
                  <wp:docPr id="4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4"/>
                          <pic:cNvPicPr>
                            <a:picLocks noChangeAspect="1"/>
                          </pic:cNvPicPr>
                        </pic:nvPicPr>
                        <pic:blipFill>
                          <a:blip r:embed="rId29"/>
                          <a:stretch>
                            <a:fillRect/>
                          </a:stretch>
                        </pic:blipFill>
                        <pic:spPr>
                          <a:xfrm>
                            <a:off x="0" y="0"/>
                            <a:ext cx="4086225" cy="2924175"/>
                          </a:xfrm>
                          <a:prstGeom prst="rect">
                            <a:avLst/>
                          </a:prstGeom>
                          <a:noFill/>
                          <a:ln>
                            <a:noFill/>
                          </a:ln>
                        </pic:spPr>
                      </pic:pic>
                    </a:graphicData>
                  </a:graphic>
                </wp:anchor>
              </w:drawing>
            </w:r>
          </w:p>
        </w:tc>
      </w:tr>
    </w:tbl>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顶管和开挖沟埋穿越方式都将产生一定量的弃渣，弃渣成分简单，可重复利用。弃渣、土堆放场如拦挡不当，将造成水土流失；开挖沟埋还将短时间阻断交通，给当地居民生产和生活带来不便。管线穿越公路方案需报公路主管部门和产权单位批准同意，或根据其要求进行。</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3) 工程占地 </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工程占地分为永久占地和临时占地，其中临时性占地主要用于施工时管道的埋设、堆料场以及施工便道的建设；永久性占地主要用于新建的站场和线路三桩占地等。</w:t>
      </w:r>
      <w:r>
        <w:rPr>
          <w:rFonts w:hint="default" w:ascii="Times New Roman" w:hAnsi="Times New Roman" w:eastAsia="宋体" w:cs="Times New Roman"/>
          <w:color w:val="auto"/>
          <w:kern w:val="0"/>
          <w:sz w:val="24"/>
          <w:szCs w:val="24"/>
          <w:lang w:val="en-US" w:eastAsia="zh-CN" w:bidi="ar"/>
        </w:rPr>
        <w:t>根据项目可行性研究报告并结合现场实际勘察，本工程总占地 46.23hm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，其中永久占地 55500m2，，临时占地 37.21hm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；根据项目《水保》占地类型中，采矿用地 0.09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，住宅用地 0.85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，耕地 27.01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，林地 8.92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，草地 0.78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，水域及水利设施用地 1.86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，设施农用地 6.72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sz w:val="24"/>
          <w:szCs w:val="24"/>
          <w:lang w:val="en-US" w:eastAsia="zh-CN"/>
        </w:rPr>
        <w:t xml:space="preserve">永久占地将改变土地利用性质，对环境产生一定的影响。临时占地在施工期将会对环境 产生影响，工程结束后对临时占地进行生态恢复，可以将其对环境的影响降至最低。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4) 施工营地 </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管道工程施工便道及施工场地大部分位于施工作业带内，在距离集中居民区较近的施工段原则上不设置办公、住宿设施，就近租用民房。经调查，本工程穿越敏感区段及其它一般线路段均有就近的村庄和居民区可以依托。因此，工程施工过程中一般线路不设临时施工营地，就近租用民房不设置施工营地的，施工期生活污水主要依托当地的生活污水处理系统，施工期生活污水对沿线环境的影响比较小。 </w:t>
      </w:r>
    </w:p>
    <w:p>
      <w:pPr>
        <w:keepNext w:val="0"/>
        <w:keepLines w:val="0"/>
        <w:widowControl/>
        <w:numPr>
          <w:ilvl w:val="0"/>
          <w:numId w:val="5"/>
        </w:numPr>
        <w:suppressLineNumbers w:val="0"/>
        <w:ind w:left="0" w:leftChars="0" w:firstLine="482" w:firstLineChars="200"/>
        <w:jc w:val="both"/>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sz w:val="24"/>
          <w:szCs w:val="24"/>
          <w:lang w:val="en-US" w:eastAsia="zh-CN"/>
        </w:rPr>
        <w:t>防治措施</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本工程对生态环境的影响主要表现在施工期。主要表现为开挖管沟等破土工程活动对植被的破坏、对土壤环境的破坏、占用土地、改变土地利用性质等，打破地表的原有平衡状态。若恢复治理措施不当，土壤的每一个新剖面，每条新车印都可能形成新的侵蚀起点，从而加重当地的水土流失，并影响农业生产，使当地农民的收入受到一定的损失。对于生态防治及水土流失防治具体要求当按工程水土保持方案严格执行。 </w:t>
      </w:r>
    </w:p>
    <w:p>
      <w:pPr>
        <w:keepNext w:val="0"/>
        <w:keepLines w:val="0"/>
        <w:widowControl/>
        <w:numPr>
          <w:ilvl w:val="0"/>
          <w:numId w:val="0"/>
        </w:numPr>
        <w:suppressLineNumbers w:val="0"/>
        <w:ind w:leftChars="200"/>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表3.1-1 穿越河流不同施工方式污染防治措施表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87"/>
        <w:gridCol w:w="45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定向钻</w:t>
            </w:r>
          </w:p>
        </w:tc>
        <w:tc>
          <w:tcPr>
            <w:tcW w:w="2500" w:type="pct"/>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大开挖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1、泥浆材料及其他添加剂等在施工现场不得随意堆放,应设篷盖和围栏,防止雨水冲刷造成水体污染</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2、穿越施工过程中泥浆池底一般要采用可降解防渗透膜进行处理,防止泥浆渗入地下污染土壤和地下水,利用泥浆回收装置对泥浆进行循环利3、在管线回拖阶段,穿越孔内充满泥浆,其排量与压力应控制好﹐不宜过大,回拖速度也不能过4、应将溢流在岸边陆地侧的废弃泥浆全部回收到废弃泥浆坑内,然后采取两种方式处置:①经自然蒸发和渗透水分后,可向泥浆坑内回填40 cm 厚的耕作土,掩埋剩余的干泥浆﹐使施工场地恢复原有地貌:②收集后就近送到环保部门指定的垃圾堆放场</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5、当发生泥浆泄漏情况时,须即可采取措施﹐在泄漏处构筑围堰,控制泥浆蔓延。并进行实时监测</w:t>
            </w:r>
          </w:p>
        </w:tc>
        <w:tc>
          <w:tcPr>
            <w:tcW w:w="2500" w:type="pct"/>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1、尽量选择在枯水期施工</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严禁在河流两堤外堤脚以内建立施工营地和施工临时厕所;严禁将两岸施工现场的洒落机油等污染物落入河流;在穿越河流的两堤外堤脚内不准给施工机械加油或存放油品储罐,不准在河流主流区和漫滩区内清洗施工机械或车辆;机械设备若有漏油现象要及时清理散落机油</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3、施工结束后围堰土应及时清理,避免阻塞河道</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4、对于管沟开挖或河床开挖时产生的渗出水排放,影响是层部的,在河水流过一段距离后,由于泥沙的重新沉积会使河水的水质恢复到原有状况;为了控制影响,对水质要求较高的河流,应采取先经渗坑过滤后再排入河流的办法</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5、施工结束后,应尽量使施工段河床恢复原貌，管沟回填后多余土石方可均匀堆积于河道穿越区岸坡背水侧,压实﹐或用于修筑堤坝,谴兔阻塞河道</w:t>
            </w:r>
          </w:p>
        </w:tc>
      </w:tr>
    </w:tbl>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lang w:val="en-US" w:eastAsia="zh-CN"/>
        </w:rPr>
        <w:t>3.1.2.2 水环境影响分析</w:t>
      </w:r>
      <w:r>
        <w:rPr>
          <w:rFonts w:hint="default" w:ascii="Times New Roman" w:hAnsi="Times New Roman" w:eastAsia="宋体" w:cs="Times New Roman"/>
          <w:color w:val="auto"/>
          <w:sz w:val="24"/>
          <w:szCs w:val="24"/>
          <w:lang w:val="en-US" w:eastAsia="zh-CN"/>
        </w:rPr>
        <w:t xml:space="preserve"> </w:t>
      </w:r>
    </w:p>
    <w:p>
      <w:pPr>
        <w:keepNext w:val="0"/>
        <w:keepLines w:val="0"/>
        <w:widowControl/>
        <w:suppressLineNumbers w:val="0"/>
        <w:jc w:val="left"/>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1、影响分析</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1） 管道试压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本工程管道工程每段清管试压最大用水量约为406m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，则试压废水排放量约为 81.2m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kern w:val="0"/>
          <w:sz w:val="24"/>
          <w:szCs w:val="24"/>
          <w:lang w:val="en-US" w:eastAsia="zh-CN" w:bidi="ar"/>
        </w:rPr>
        <w:t>由于这部分排水量大，排水时间短，如不处理直接排放至附近的水体，将对沿途水域造成一定影响，因此，必须做好废水的收集和排放的管理与疏导工作，通过简易的沉淀后就近排入附近沟渠、河流，应尽量避免排水造成局部土壤流失和污染</w:t>
      </w:r>
      <w:r>
        <w:rPr>
          <w:rFonts w:hint="default" w:ascii="Times New Roman" w:hAnsi="Times New Roman" w:eastAsia="宋体" w:cs="Times New Roman"/>
          <w:color w:val="auto"/>
          <w:sz w:val="24"/>
          <w:szCs w:val="24"/>
          <w:lang w:val="en-US" w:eastAsia="zh-CN"/>
        </w:rPr>
        <w:t>。</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2) 施工生活污水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施工人员生活污水产生量按 75L/人•日计算，COD 和氨氮的浓度分别按 300mg/L 和 30mg/L 计算。根据类比调查，一般地段管线施工生活污水、COD 和氨氮排放量分别为26m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 xml:space="preserve"> /km、7.8kg/km 和0.78kg/km，</w:t>
      </w:r>
      <w:r>
        <w:rPr>
          <w:rFonts w:hint="default" w:ascii="Times New Roman" w:hAnsi="Times New Roman" w:eastAsia="宋体" w:cs="Times New Roman"/>
          <w:color w:val="auto"/>
          <w:kern w:val="0"/>
          <w:sz w:val="24"/>
          <w:szCs w:val="24"/>
          <w:lang w:val="en-US" w:eastAsia="zh-CN" w:bidi="ar"/>
        </w:rPr>
        <w:t>在定向钻、顶管等穿越施工工地，生活污水和 CODCr、氨氮排放量分别为 250m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 /km、75kg/km、7.5kg/km。</w:t>
      </w:r>
    </w:p>
    <w:p>
      <w:pPr>
        <w:keepNext w:val="0"/>
        <w:keepLines w:val="0"/>
        <w:widowControl/>
        <w:suppressLineNumbers w:val="0"/>
        <w:jc w:val="left"/>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lang w:val="en-US" w:eastAsia="zh-CN"/>
        </w:rPr>
        <w:t>本工程总长</w:t>
      </w:r>
      <w:r>
        <w:rPr>
          <w:rFonts w:hint="eastAsia" w:ascii="Times New Roman" w:hAnsi="Times New Roman" w:cs="Times New Roman"/>
          <w:color w:val="auto"/>
          <w:sz w:val="24"/>
          <w:szCs w:val="24"/>
          <w:lang w:val="en-US" w:eastAsia="zh-CN"/>
        </w:rPr>
        <w:t>14.5km</w:t>
      </w:r>
      <w:r>
        <w:rPr>
          <w:rFonts w:hint="default" w:ascii="Times New Roman" w:hAnsi="Times New Roman" w:eastAsia="宋体" w:cs="Times New Roman"/>
          <w:color w:val="auto"/>
          <w:sz w:val="24"/>
          <w:szCs w:val="24"/>
          <w:lang w:val="en-US" w:eastAsia="zh-CN"/>
        </w:rPr>
        <w:t>，其中东河采用定向钻穿越，长度为1.3km；</w:t>
      </w:r>
      <w:r>
        <w:rPr>
          <w:rFonts w:hint="default" w:ascii="Times New Roman" w:hAnsi="Times New Roman" w:eastAsia="宋体" w:cs="Times New Roman"/>
          <w:color w:val="auto"/>
          <w:kern w:val="0"/>
          <w:sz w:val="24"/>
          <w:szCs w:val="24"/>
          <w:lang w:val="en-US" w:eastAsia="zh-CN" w:bidi="ar"/>
        </w:rPr>
        <w:t>乡村公路采用顶管穿越，长度0.52km；一般施工长度12.78km</w:t>
      </w:r>
      <w:r>
        <w:rPr>
          <w:rFonts w:hint="default" w:ascii="Times New Roman" w:hAnsi="Times New Roman" w:eastAsia="宋体" w:cs="Times New Roman"/>
          <w:color w:val="auto"/>
          <w:sz w:val="24"/>
          <w:szCs w:val="24"/>
          <w:lang w:val="en-US" w:eastAsia="zh-CN"/>
        </w:rPr>
        <w:t>。则本工程生活污水总排放量为787.28m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vertAlign w:val="baseline"/>
          <w:lang w:val="en-US" w:eastAsia="zh-CN"/>
        </w:rPr>
        <w:t>，COD排放总量为1.13t，氨氮排放总量为0.11t。</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3）穿越施工渗水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采用定向钻穿越地表水体，在定向钻进口和出口均靠近河道，在施工中有少量的含泥砂污水流出，污水中主要污染因子为SS，若直接流入河道，会造成河道内污染水体，河水中泥沙含量、悬浮物增加，影响河水水质。</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根据类比调查，在定向钻施工中有少量的含泥砂污水流出。隧道施工的速度一般为 15m/d 左右，其水量约为 73m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 /d～93m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 /d。 </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2、污染防治</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1）试压废水：工程管道试压使用洁净水，且采取分段试压的方式进行，水中的主要污染物为管线敷设时掉落的少量泥沙，由于在试压前已经过清管处理，试压废水中SS 浓度较低，约为 60mg/m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处置方式一般是在经沉淀池沉淀后回用于农灌、道路洒水或选择合适的地点排放。根据国内其它管线建设经验，这部分废水经沉淀处理后可以达到《污水综合排放标准》（GB8978-1996）要求，可以直接外排，不会对受纳水体产生大的影响。但本工程沿线水体中，东河含饮用水源功能，严禁将试压废水直接排入东河。</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2）施工生活废水：施工队伍除</w:t>
      </w:r>
      <w:r>
        <w:rPr>
          <w:rFonts w:hint="default" w:ascii="Times New Roman" w:hAnsi="Times New Roman" w:cs="Times New Roman"/>
          <w:color w:val="auto"/>
          <w:kern w:val="0"/>
          <w:sz w:val="24"/>
          <w:szCs w:val="24"/>
          <w:lang w:val="en-US" w:eastAsia="zh-CN" w:bidi="ar"/>
        </w:rPr>
        <w:t>建设单位</w:t>
      </w:r>
      <w:r>
        <w:rPr>
          <w:rFonts w:hint="default" w:ascii="Times New Roman" w:hAnsi="Times New Roman" w:eastAsia="宋体" w:cs="Times New Roman"/>
          <w:color w:val="auto"/>
          <w:kern w:val="0"/>
          <w:sz w:val="24"/>
          <w:szCs w:val="24"/>
          <w:lang w:val="en-US" w:eastAsia="zh-CN" w:bidi="ar"/>
        </w:rPr>
        <w:t>方的施工技术人员外，其余均雇佣当地的民工，项目不建设施工营地，施工队伍的吃住一般依托当地的居民，施工是分段分期进行，具有较大的分散性，局部排放量很小，项目施工期产生的生活污水经过周围农户旱厕处理后直接用于农业灌溉，由于周围主要为农村环境，项目产生的生活污水用于农业灌溉满足需求。因此，只要控制不让施工生活污水进入河道，一般不会造成水体污染。</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3）施工废水：评价要求在定向钻施工过程中，在出水位置安装泥水分离器，将施工过程中的含泥砂污水进行泥水分离器分离后用于施工区域洒水降尘和循环利用，无法重复利用的清水，排入周围农灌渠，严禁将废水排入东河水源保护区。</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bookmarkStart w:id="38" w:name="_Toc11049215"/>
      <w:r>
        <w:rPr>
          <w:rFonts w:hint="default" w:ascii="Times New Roman" w:hAnsi="Times New Roman" w:cs="Times New Roman"/>
          <w:b/>
          <w:bCs/>
          <w:color w:val="auto"/>
          <w:kern w:val="0"/>
          <w:sz w:val="24"/>
          <w:szCs w:val="24"/>
          <w:lang w:val="en-US" w:eastAsia="zh-CN" w:bidi="ar"/>
        </w:rPr>
        <w:t>3、</w:t>
      </w:r>
      <w:r>
        <w:rPr>
          <w:rFonts w:hint="default" w:ascii="Times New Roman" w:hAnsi="Times New Roman" w:eastAsia="宋体" w:cs="Times New Roman"/>
          <w:b/>
          <w:bCs/>
          <w:color w:val="auto"/>
          <w:kern w:val="0"/>
          <w:sz w:val="24"/>
          <w:szCs w:val="24"/>
          <w:lang w:val="en-US" w:eastAsia="zh-CN" w:bidi="ar"/>
        </w:rPr>
        <w:t>项目穿越</w:t>
      </w:r>
      <w:r>
        <w:rPr>
          <w:rFonts w:hint="default" w:ascii="Times New Roman" w:hAnsi="Times New Roman" w:cs="Times New Roman"/>
          <w:b/>
          <w:bCs/>
          <w:color w:val="auto"/>
          <w:kern w:val="0"/>
          <w:sz w:val="24"/>
          <w:szCs w:val="24"/>
          <w:lang w:val="en-US" w:eastAsia="zh-CN" w:bidi="ar"/>
        </w:rPr>
        <w:t>东河</w:t>
      </w:r>
      <w:r>
        <w:rPr>
          <w:rFonts w:hint="default" w:ascii="Times New Roman" w:hAnsi="Times New Roman" w:eastAsia="宋体" w:cs="Times New Roman"/>
          <w:b/>
          <w:bCs/>
          <w:color w:val="auto"/>
          <w:kern w:val="0"/>
          <w:sz w:val="24"/>
          <w:szCs w:val="24"/>
          <w:lang w:val="en-US" w:eastAsia="zh-CN" w:bidi="ar"/>
        </w:rPr>
        <w:t>饮用水水源地二级水环境影响分析</w:t>
      </w:r>
      <w:bookmarkEnd w:id="38"/>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w:t>
      </w:r>
      <w:r>
        <w:rPr>
          <w:rFonts w:hint="default" w:ascii="Times New Roman" w:hAnsi="Times New Roman" w:cs="Times New Roman"/>
          <w:color w:val="auto"/>
          <w:kern w:val="0"/>
          <w:sz w:val="24"/>
          <w:szCs w:val="24"/>
          <w:lang w:val="en-US" w:eastAsia="zh-CN" w:bidi="ar"/>
        </w:rPr>
        <w:t>线路路由穿越东河</w:t>
      </w:r>
      <w:r>
        <w:rPr>
          <w:rFonts w:hint="default" w:ascii="Times New Roman" w:hAnsi="Times New Roman" w:eastAsia="宋体" w:cs="Times New Roman"/>
          <w:color w:val="auto"/>
          <w:kern w:val="0"/>
          <w:sz w:val="24"/>
          <w:szCs w:val="24"/>
          <w:lang w:val="en-US" w:eastAsia="zh-CN" w:bidi="ar"/>
        </w:rPr>
        <w:t>涉及</w:t>
      </w:r>
      <w:r>
        <w:rPr>
          <w:rFonts w:hint="default" w:ascii="Times New Roman" w:hAnsi="Times New Roman" w:cs="Times New Roman"/>
          <w:color w:val="auto"/>
          <w:kern w:val="0"/>
          <w:sz w:val="24"/>
          <w:szCs w:val="24"/>
          <w:lang w:val="en-US" w:eastAsia="zh-CN" w:bidi="ar"/>
        </w:rPr>
        <w:t>东河云峰镇王渡社区</w:t>
      </w:r>
      <w:r>
        <w:rPr>
          <w:rFonts w:hint="default" w:ascii="Times New Roman" w:hAnsi="Times New Roman" w:eastAsia="宋体" w:cs="Times New Roman"/>
          <w:color w:val="auto"/>
          <w:kern w:val="0"/>
          <w:sz w:val="24"/>
          <w:szCs w:val="24"/>
          <w:lang w:val="en-US" w:eastAsia="zh-CN" w:bidi="ar"/>
        </w:rPr>
        <w:t>饮用水水源地二级，水环境较为敏感，因此，环境可行性和环境保护问题是影响项目实施的主要因素之一。</w:t>
      </w:r>
    </w:p>
    <w:p>
      <w:pPr>
        <w:keepNext w:val="0"/>
        <w:keepLines w:val="0"/>
        <w:widowControl/>
        <w:suppressLineNumbers w:val="0"/>
        <w:jc w:val="left"/>
        <w:rPr>
          <w:rFonts w:hint="default" w:ascii="Times New Roman" w:hAnsi="Times New Roman" w:cs="Times New Roman"/>
          <w:color w:val="auto"/>
          <w:sz w:val="24"/>
        </w:rPr>
      </w:pPr>
      <w:r>
        <w:rPr>
          <w:rFonts w:hint="default" w:ascii="Times New Roman" w:hAnsi="Times New Roman" w:cs="Times New Roman"/>
          <w:color w:val="auto"/>
          <w:kern w:val="0"/>
          <w:sz w:val="24"/>
          <w:szCs w:val="24"/>
          <w:lang w:val="en-US" w:eastAsia="zh-CN" w:bidi="ar"/>
        </w:rPr>
        <w:t>东河</w:t>
      </w:r>
      <w:r>
        <w:rPr>
          <w:rFonts w:hint="default" w:ascii="Times New Roman" w:hAnsi="Times New Roman" w:eastAsia="宋体" w:cs="Times New Roman"/>
          <w:color w:val="auto"/>
          <w:kern w:val="0"/>
          <w:sz w:val="24"/>
          <w:szCs w:val="24"/>
          <w:lang w:val="en-US" w:eastAsia="zh-CN" w:bidi="ar"/>
        </w:rPr>
        <w:t>集中式饮用水水源保护区划分情况以及与本项目路线位置关系见前文</w:t>
      </w:r>
      <w:r>
        <w:rPr>
          <w:rFonts w:hint="default" w:ascii="Times New Roman" w:hAnsi="Times New Roman" w:cs="Times New Roman"/>
          <w:color w:val="auto"/>
          <w:kern w:val="0"/>
          <w:sz w:val="24"/>
          <w:szCs w:val="24"/>
          <w:lang w:val="en-US" w:eastAsia="zh-CN" w:bidi="ar"/>
        </w:rPr>
        <w:t>项目</w:t>
      </w:r>
      <w:r>
        <w:rPr>
          <w:rFonts w:hint="default" w:ascii="Times New Roman" w:hAnsi="Times New Roman" w:cs="Times New Roman"/>
          <w:color w:val="auto"/>
          <w:sz w:val="24"/>
        </w:rPr>
        <w:t>与敏感区控制因素符合性分析小节。</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（1）</w:t>
      </w:r>
      <w:r>
        <w:rPr>
          <w:rFonts w:hint="default" w:ascii="Times New Roman" w:hAnsi="Times New Roman" w:eastAsia="宋体" w:cs="Times New Roman"/>
          <w:b/>
          <w:bCs/>
          <w:color w:val="auto"/>
          <w:kern w:val="0"/>
          <w:sz w:val="24"/>
          <w:szCs w:val="24"/>
          <w:lang w:val="en-US" w:eastAsia="zh-CN" w:bidi="ar"/>
        </w:rPr>
        <w:t>保护区内主要建设内容</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项目涉及二级保护区路线</w:t>
      </w:r>
      <w:r>
        <w:rPr>
          <w:rFonts w:hint="default" w:ascii="Times New Roman" w:hAnsi="Times New Roman" w:cs="Times New Roman"/>
          <w:color w:val="auto"/>
          <w:kern w:val="0"/>
          <w:sz w:val="24"/>
          <w:szCs w:val="24"/>
          <w:lang w:val="en-US" w:eastAsia="zh-CN" w:bidi="ar"/>
        </w:rPr>
        <w:t>1107m，采用定向钻的方式穿越东河二级水源保护区，</w:t>
      </w:r>
      <w:r>
        <w:rPr>
          <w:rFonts w:hint="default" w:ascii="Times New Roman" w:hAnsi="Times New Roman" w:eastAsia="宋体" w:cs="Times New Roman"/>
          <w:color w:val="auto"/>
          <w:kern w:val="0"/>
          <w:sz w:val="24"/>
          <w:szCs w:val="24"/>
          <w:lang w:val="en-US" w:eastAsia="zh-CN" w:bidi="ar"/>
        </w:rPr>
        <w:t>不涉及弃</w:t>
      </w:r>
      <w:r>
        <w:rPr>
          <w:rFonts w:hint="eastAsia" w:ascii="Times New Roman" w:hAnsi="Times New Roman" w:cs="Times New Roman"/>
          <w:color w:val="auto"/>
          <w:kern w:val="0"/>
          <w:sz w:val="24"/>
          <w:szCs w:val="24"/>
          <w:lang w:val="en-US" w:eastAsia="zh-CN" w:bidi="ar"/>
        </w:rPr>
        <w:t>渣</w:t>
      </w:r>
      <w:r>
        <w:rPr>
          <w:rFonts w:hint="default" w:ascii="Times New Roman" w:hAnsi="Times New Roman" w:eastAsia="宋体" w:cs="Times New Roman"/>
          <w:color w:val="auto"/>
          <w:kern w:val="0"/>
          <w:sz w:val="24"/>
          <w:szCs w:val="24"/>
          <w:lang w:val="en-US" w:eastAsia="zh-CN" w:bidi="ar"/>
        </w:rPr>
        <w:t>场。因此，本项目对该水源地主要影响为施工期</w:t>
      </w:r>
      <w:r>
        <w:rPr>
          <w:rFonts w:hint="default" w:ascii="Times New Roman" w:hAnsi="Times New Roman" w:cs="Times New Roman"/>
          <w:color w:val="auto"/>
          <w:kern w:val="0"/>
          <w:sz w:val="24"/>
          <w:szCs w:val="24"/>
          <w:lang w:val="en-US" w:eastAsia="zh-CN" w:bidi="ar"/>
        </w:rPr>
        <w:t>定向钻施工布置场地施工废水、泥浆、弃渣等</w:t>
      </w:r>
      <w:r>
        <w:rPr>
          <w:rFonts w:hint="default" w:ascii="Times New Roman" w:hAnsi="Times New Roman" w:eastAsia="宋体" w:cs="Times New Roman"/>
          <w:color w:val="auto"/>
          <w:kern w:val="0"/>
          <w:sz w:val="24"/>
          <w:szCs w:val="24"/>
          <w:lang w:val="en-US" w:eastAsia="zh-CN" w:bidi="ar"/>
        </w:rPr>
        <w:t>对保护区水环境的影响。</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（2）</w:t>
      </w:r>
      <w:r>
        <w:rPr>
          <w:rFonts w:hint="default" w:ascii="Times New Roman" w:hAnsi="Times New Roman" w:eastAsia="宋体" w:cs="Times New Roman"/>
          <w:b/>
          <w:bCs/>
          <w:color w:val="auto"/>
          <w:kern w:val="0"/>
          <w:sz w:val="24"/>
          <w:szCs w:val="24"/>
          <w:lang w:val="en-US" w:eastAsia="zh-CN" w:bidi="ar"/>
        </w:rPr>
        <w:t>施工期环保措施</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本项目在水源地保护区段禁止设临时施工营地，无生活污水的产生及排放，但在施工过程中施工单位应该加强管理并向施工人员培训普及环保意识和素质，生活污水、生活垃圾不乱排。</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针对</w:t>
      </w:r>
      <w:r>
        <w:rPr>
          <w:rFonts w:hint="default" w:ascii="Times New Roman" w:hAnsi="Times New Roman" w:cs="Times New Roman"/>
          <w:color w:val="auto"/>
          <w:sz w:val="24"/>
          <w:lang w:eastAsia="zh-CN"/>
        </w:rPr>
        <w:t>管线管沟</w:t>
      </w:r>
      <w:r>
        <w:rPr>
          <w:rFonts w:hint="default" w:ascii="Times New Roman" w:hAnsi="Times New Roman" w:cs="Times New Roman"/>
          <w:color w:val="auto"/>
          <w:sz w:val="24"/>
        </w:rPr>
        <w:t>施工过程产生的废水，本报告要求建设单位在严格按照本报告提出的水环境保护措施的基础上，另外应采取以下措施：</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sz w:val="24"/>
        </w:rPr>
        <w:t>①</w:t>
      </w:r>
      <w:r>
        <w:rPr>
          <w:rFonts w:hint="default" w:ascii="Times New Roman" w:hAnsi="Times New Roman" w:cs="Times New Roman"/>
          <w:color w:val="auto"/>
          <w:sz w:val="24"/>
        </w:rPr>
        <w:t>选择在枯水期或者平水期施工；</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sz w:val="24"/>
        </w:rPr>
        <w:t>②</w:t>
      </w:r>
      <w:r>
        <w:rPr>
          <w:rFonts w:hint="default" w:ascii="Times New Roman" w:hAnsi="Times New Roman" w:cs="Times New Roman"/>
          <w:color w:val="auto"/>
          <w:sz w:val="24"/>
        </w:rPr>
        <w:t>避免大风、大雨季节施工，减少水土流失及扬尘对保护区水体的影响；</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sz w:val="24"/>
        </w:rPr>
        <w:t>③</w:t>
      </w:r>
      <w:r>
        <w:rPr>
          <w:rFonts w:hint="default" w:ascii="Times New Roman" w:hAnsi="Times New Roman" w:cs="Times New Roman"/>
          <w:color w:val="auto"/>
          <w:sz w:val="24"/>
        </w:rPr>
        <w:t>设置标示牌和拦挡设施、及时清运弃渣；</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sz w:val="24"/>
        </w:rPr>
        <w:t>④</w:t>
      </w:r>
      <w:r>
        <w:rPr>
          <w:rFonts w:hint="default" w:ascii="Times New Roman" w:hAnsi="Times New Roman" w:cs="Times New Roman"/>
          <w:color w:val="auto"/>
          <w:sz w:val="24"/>
        </w:rPr>
        <w:t>施工固废生活垃圾及时清运并避免道路遗撒；</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sz w:val="24"/>
        </w:rPr>
        <w:t>⑤</w:t>
      </w:r>
      <w:r>
        <w:rPr>
          <w:rFonts w:hint="default" w:ascii="Times New Roman" w:hAnsi="Times New Roman" w:cs="Times New Roman"/>
          <w:color w:val="auto"/>
          <w:sz w:val="24"/>
        </w:rPr>
        <w:t>加强施工管理、禁止乱抛乱丢现象发生；</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sz w:val="24"/>
        </w:rPr>
        <w:t>⑥</w:t>
      </w:r>
      <w:r>
        <w:rPr>
          <w:rFonts w:hint="default" w:ascii="Times New Roman" w:hAnsi="Times New Roman" w:cs="Times New Roman"/>
          <w:color w:val="auto"/>
          <w:sz w:val="24"/>
        </w:rPr>
        <w:t>加强施工期的人员和设备的管理；</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sz w:val="24"/>
        </w:rPr>
        <w:t>⑦</w:t>
      </w:r>
      <w:r>
        <w:rPr>
          <w:rFonts w:hint="default" w:ascii="Times New Roman" w:hAnsi="Times New Roman" w:cs="Times New Roman"/>
          <w:color w:val="auto"/>
          <w:sz w:val="24"/>
        </w:rPr>
        <w:t>加强施工人员的文明施工宣传教育，不得在保护区水体内游泳垂钓；</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sz w:val="24"/>
        </w:rPr>
        <w:t>⑧</w:t>
      </w:r>
      <w:r>
        <w:rPr>
          <w:rFonts w:hint="default" w:ascii="Times New Roman" w:hAnsi="Times New Roman" w:cs="Times New Roman"/>
          <w:color w:val="auto"/>
          <w:sz w:val="24"/>
        </w:rPr>
        <w:t>开展施工期环境监理，以期最大的程度降低施工期对水源保护区的影响。</w:t>
      </w:r>
    </w:p>
    <w:p>
      <w:pPr>
        <w:adjustRightInd w:val="0"/>
        <w:snapToGrid w:val="0"/>
        <w:spacing w:line="360" w:lineRule="auto"/>
        <w:ind w:firstLine="480" w:firstLineChars="200"/>
        <w:rPr>
          <w:rFonts w:hint="default" w:ascii="Times New Roman" w:hAnsi="Times New Roman" w:cs="Times New Roman"/>
          <w:color w:val="auto"/>
          <w:lang w:val="en-US" w:eastAsia="zh-CN"/>
        </w:rPr>
      </w:pPr>
      <w:r>
        <w:rPr>
          <w:rFonts w:hint="default" w:ascii="Times New Roman" w:hAnsi="Times New Roman" w:cs="Times New Roman"/>
          <w:color w:val="auto"/>
          <w:sz w:val="24"/>
        </w:rPr>
        <w:t>通过采取并严格执行本项目前文提出的防护措施如：枯水期施工、围堰施工工艺以及生产废水处理措施后，对水环境的影响很小，不会改变水体功能，围堰工序完成后，这种影响将不复存在。</w:t>
      </w:r>
    </w:p>
    <w:p>
      <w:pPr>
        <w:keepNext w:val="0"/>
        <w:keepLines w:val="0"/>
        <w:widowControl/>
        <w:suppressLineNumbers w:val="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3.1.2.3 环境空气影响分析</w:t>
      </w:r>
    </w:p>
    <w:p>
      <w:pPr>
        <w:keepNext w:val="0"/>
        <w:keepLines w:val="0"/>
        <w:widowControl/>
        <w:suppressLineNumbers w:val="0"/>
        <w:jc w:val="left"/>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1、影响分析</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（1）施工废气</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管线在顶管穿越、定向钻穿越、盾构隧道等大型机械施工中，由于使用柴油机等设备，将产生燃烧烟气(主要污染物为 SO2和 NOx等)，但是施工现场处在有利于废气扩散的野外，同时废气污染源具有间歇性和流动性，对局部地区的环境空气影响较轻。</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（2）扬尘</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kern w:val="0"/>
          <w:sz w:val="24"/>
          <w:szCs w:val="24"/>
          <w:lang w:val="en-US" w:eastAsia="zh-CN" w:bidi="ar"/>
        </w:rPr>
        <w:t>项目在施工阶段，扬尘主要产生于土方挖掘产生的扬尘、露天堆场和裸露场地风力扬尘、运输车辆行驶动力起尘等。影响起尘量的因素包括：基础开挖起尘量、施工渣土堆场起尘量、进出车辆泥砂量、水泥搬运量、以及起尘高度、采取的防护措施、空气湿度、风速等。</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1）土方挖掘产生的扬尘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挖土的扬尘对环境的浓度贡献较大，特别在近距离 50m 以内 TSP 浓度超过二级标准几倍，个别情况可达到 10 倍。但随着距离增加，衰减很快，300m 左右就能达到二级标准。本工程挖方量</w:t>
      </w:r>
      <w:r>
        <w:rPr>
          <w:rFonts w:hint="eastAsia" w:ascii="Times New Roman" w:hAnsi="Times New Roman" w:cs="Times New Roman"/>
          <w:color w:val="auto"/>
          <w:kern w:val="0"/>
          <w:sz w:val="24"/>
          <w:szCs w:val="24"/>
          <w:lang w:val="en-US" w:eastAsia="zh-CN" w:bidi="ar"/>
        </w:rPr>
        <w:t>较少，</w:t>
      </w:r>
      <w:r>
        <w:rPr>
          <w:rFonts w:hint="default" w:ascii="Times New Roman" w:hAnsi="Times New Roman" w:eastAsia="宋体" w:cs="Times New Roman"/>
          <w:color w:val="auto"/>
          <w:kern w:val="0"/>
          <w:sz w:val="24"/>
          <w:szCs w:val="24"/>
          <w:lang w:val="en-US" w:eastAsia="zh-CN" w:bidi="ar"/>
        </w:rPr>
        <w:t xml:space="preserve">施工期间对环境空气影响最主要的是粉尘。干燥地表的开挖产生的粉尘，一部分悬浮于空中，另一部分随风飘落到附近地面和建筑物表面；开挖的泥土堆砌过程中，在风力较大时，会产生粉尘扬起。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2）露天堆场和裸露场地风力扬尘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由于施工需要，施工作业现场需露天临时堆放一些管材和一些施工点开挖出来的土方。在气候干燥又有风的情况下，上述情况均会产生扬尘，其扬尘量可按堆放场起尘的经验公式计算： </w:t>
      </w:r>
    </w:p>
    <w:p>
      <w:pPr>
        <w:keepNext w:val="0"/>
        <w:keepLines w:val="0"/>
        <w:widowControl/>
        <w:suppressLineNumbers w:val="0"/>
        <w:jc w:val="center"/>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Q＝2.1（V</w:t>
      </w:r>
      <w:r>
        <w:rPr>
          <w:rFonts w:hint="default" w:ascii="Times New Roman" w:hAnsi="Times New Roman" w:eastAsia="宋体" w:cs="Times New Roman"/>
          <w:color w:val="auto"/>
          <w:kern w:val="0"/>
          <w:sz w:val="16"/>
          <w:szCs w:val="16"/>
          <w:lang w:val="en-US" w:eastAsia="zh-CN" w:bidi="ar"/>
        </w:rPr>
        <w:t>50</w:t>
      </w:r>
      <w:r>
        <w:rPr>
          <w:rFonts w:hint="default" w:ascii="Times New Roman" w:hAnsi="Times New Roman" w:eastAsia="宋体" w:cs="Times New Roman"/>
          <w:color w:val="auto"/>
          <w:kern w:val="0"/>
          <w:sz w:val="24"/>
          <w:szCs w:val="24"/>
          <w:lang w:val="en-US" w:eastAsia="zh-CN" w:bidi="ar"/>
        </w:rPr>
        <w:t>—V</w:t>
      </w:r>
      <w:r>
        <w:rPr>
          <w:rFonts w:hint="default" w:ascii="Times New Roman" w:hAnsi="Times New Roman" w:eastAsia="宋体" w:cs="Times New Roman"/>
          <w:color w:val="auto"/>
          <w:kern w:val="0"/>
          <w:sz w:val="16"/>
          <w:szCs w:val="16"/>
          <w:lang w:val="en-US" w:eastAsia="zh-CN" w:bidi="ar"/>
        </w:rPr>
        <w:t>0</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16"/>
          <w:szCs w:val="16"/>
          <w:lang w:val="en-US" w:eastAsia="zh-CN" w:bidi="ar"/>
        </w:rPr>
        <w:t xml:space="preserve">3 </w:t>
      </w:r>
      <w:r>
        <w:rPr>
          <w:rFonts w:hint="default" w:ascii="Times New Roman" w:hAnsi="Times New Roman" w:eastAsia="宋体" w:cs="Times New Roman"/>
          <w:color w:val="auto"/>
          <w:kern w:val="0"/>
          <w:sz w:val="24"/>
          <w:szCs w:val="24"/>
          <w:lang w:val="en-US" w:eastAsia="zh-CN" w:bidi="ar"/>
        </w:rPr>
        <w:t xml:space="preserve">e </w:t>
      </w:r>
      <w:r>
        <w:rPr>
          <w:rFonts w:hint="default" w:ascii="Times New Roman" w:hAnsi="Times New Roman" w:eastAsia="宋体" w:cs="Times New Roman"/>
          <w:color w:val="auto"/>
          <w:kern w:val="0"/>
          <w:sz w:val="16"/>
          <w:szCs w:val="16"/>
          <w:lang w:val="en-US" w:eastAsia="zh-CN" w:bidi="ar"/>
        </w:rPr>
        <w:t>-1.023w</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式中：Q—起尘量，kg/t·a；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V</w:t>
      </w:r>
      <w:r>
        <w:rPr>
          <w:rFonts w:hint="default" w:ascii="Times New Roman" w:hAnsi="Times New Roman" w:eastAsia="宋体" w:cs="Times New Roman"/>
          <w:color w:val="auto"/>
          <w:kern w:val="0"/>
          <w:sz w:val="16"/>
          <w:szCs w:val="16"/>
          <w:lang w:val="en-US" w:eastAsia="zh-CN" w:bidi="ar"/>
        </w:rPr>
        <w:t>50</w:t>
      </w:r>
      <w:r>
        <w:rPr>
          <w:rFonts w:hint="default" w:ascii="Times New Roman" w:hAnsi="Times New Roman" w:eastAsia="宋体" w:cs="Times New Roman"/>
          <w:color w:val="auto"/>
          <w:kern w:val="0"/>
          <w:sz w:val="24"/>
          <w:szCs w:val="24"/>
          <w:lang w:val="en-US" w:eastAsia="zh-CN" w:bidi="ar"/>
        </w:rPr>
        <w:t xml:space="preserve">—距地面 50m 处风速，m/s；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V</w:t>
      </w:r>
      <w:r>
        <w:rPr>
          <w:rFonts w:hint="default" w:ascii="Times New Roman" w:hAnsi="Times New Roman" w:eastAsia="宋体" w:cs="Times New Roman"/>
          <w:color w:val="auto"/>
          <w:kern w:val="0"/>
          <w:sz w:val="16"/>
          <w:szCs w:val="16"/>
          <w:lang w:val="en-US" w:eastAsia="zh-CN" w:bidi="ar"/>
        </w:rPr>
        <w:t>0</w:t>
      </w:r>
      <w:r>
        <w:rPr>
          <w:rFonts w:hint="default" w:ascii="Times New Roman" w:hAnsi="Times New Roman" w:eastAsia="宋体" w:cs="Times New Roman"/>
          <w:color w:val="auto"/>
          <w:kern w:val="0"/>
          <w:sz w:val="24"/>
          <w:szCs w:val="24"/>
          <w:lang w:val="en-US" w:eastAsia="zh-CN" w:bidi="ar"/>
        </w:rPr>
        <w:t xml:space="preserve">—起尘风速，m/s；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W—尘粒含水率，%。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V</w:t>
      </w:r>
      <w:r>
        <w:rPr>
          <w:rFonts w:hint="default" w:ascii="Times New Roman" w:hAnsi="Times New Roman" w:eastAsia="宋体" w:cs="Times New Roman"/>
          <w:color w:val="auto"/>
          <w:kern w:val="0"/>
          <w:sz w:val="16"/>
          <w:szCs w:val="16"/>
          <w:lang w:val="en-US" w:eastAsia="zh-CN" w:bidi="ar"/>
        </w:rPr>
        <w:t xml:space="preserve">0 </w:t>
      </w:r>
      <w:r>
        <w:rPr>
          <w:rFonts w:hint="default" w:ascii="Times New Roman" w:hAnsi="Times New Roman" w:eastAsia="宋体" w:cs="Times New Roman"/>
          <w:color w:val="auto"/>
          <w:kern w:val="0"/>
          <w:sz w:val="24"/>
          <w:szCs w:val="24"/>
          <w:lang w:val="en-US" w:eastAsia="zh-CN" w:bidi="ar"/>
        </w:rPr>
        <w:t>与粒径和含水率有关，因此减少建材露天堆放时间、保证建材中一定的含水率是减少风力起尘的有效手段。据有关资料，尘粒在空气中的传播扩散情况与风速等气象条件有关，也与尘粒本身的沉降速度有关。尘粒的沉降速度随粒径的增大而迅速增大。当粒径为250mm时，主要影响范围在扬尘点下风向近距离范围内，而真正对外环境产生影响的是一些微小尘粒。根据施工作业现场气候的不同情况，扬尘影响范围也有所不同。施工期间施工单位若不采取措施，扬尘势必对该区域环境产生一定影响。尤其是在雨水偏少时期，扬尘现象较为严重。环评要求施工单位选址堆放钢管等建材时应避开周围散居居民点，并做好钢材临时堆放点洒水抑尘等扬尘防治工作，对开挖的地面及时洒水，防止土壤脱水后产生较多的扬尘。</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3）运输车辆行驶动力起尘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据有关调查显示，施工作业现场扬尘主要来自于运输车辆在行驶过程中产生的扬尘，其产生量约占工地扬尘总量的 40％。在施工便道和施工建设道路完全干燥的情况下，运输车辆行驶动力起尘量可按下述经验公式计算：</w:t>
      </w:r>
    </w:p>
    <w:p>
      <w:pPr>
        <w:keepNext w:val="0"/>
        <w:keepLines w:val="0"/>
        <w:widowControl/>
        <w:suppressLineNumbers w:val="0"/>
        <w:jc w:val="center"/>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Q＝0.123(V/5)(W/6.8)</w:t>
      </w:r>
      <w:r>
        <w:rPr>
          <w:rFonts w:hint="default" w:ascii="Times New Roman" w:hAnsi="Times New Roman" w:eastAsia="宋体" w:cs="Times New Roman"/>
          <w:color w:val="auto"/>
          <w:kern w:val="0"/>
          <w:sz w:val="16"/>
          <w:szCs w:val="16"/>
          <w:lang w:val="en-US" w:eastAsia="zh-CN" w:bidi="ar"/>
        </w:rPr>
        <w:t>0.85</w:t>
      </w:r>
      <w:r>
        <w:rPr>
          <w:rFonts w:hint="default" w:ascii="Times New Roman" w:hAnsi="Times New Roman" w:eastAsia="宋体" w:cs="Times New Roman"/>
          <w:color w:val="auto"/>
          <w:kern w:val="0"/>
          <w:sz w:val="24"/>
          <w:szCs w:val="24"/>
          <w:lang w:val="en-US" w:eastAsia="zh-CN" w:bidi="ar"/>
        </w:rPr>
        <w:t>(P/0.5)</w:t>
      </w:r>
      <w:r>
        <w:rPr>
          <w:rFonts w:hint="default" w:ascii="Times New Roman" w:hAnsi="Times New Roman" w:eastAsia="宋体" w:cs="Times New Roman"/>
          <w:color w:val="auto"/>
          <w:kern w:val="0"/>
          <w:sz w:val="16"/>
          <w:szCs w:val="16"/>
          <w:lang w:val="en-US" w:eastAsia="zh-CN" w:bidi="ar"/>
        </w:rPr>
        <w:t>0.75</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式中：Q—汽车行驶时的扬尘，kg/Km·辆；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V—汽车速度，km/h；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W—汽车载重量，t；</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P—道路表面粉尘量，kg/m</w:t>
      </w:r>
      <w:r>
        <w:rPr>
          <w:rFonts w:hint="default" w:ascii="Times New Roman" w:hAnsi="Times New Roman" w:eastAsia="宋体" w:cs="Times New Roman"/>
          <w:color w:val="auto"/>
          <w:kern w:val="0"/>
          <w:sz w:val="16"/>
          <w:szCs w:val="16"/>
          <w:lang w:val="en-US" w:eastAsia="zh-CN" w:bidi="ar"/>
        </w:rPr>
        <w:t>2</w:t>
      </w:r>
      <w:r>
        <w:rPr>
          <w:rFonts w:hint="default" w:ascii="Times New Roman" w:hAnsi="Times New Roman" w:eastAsia="宋体" w:cs="Times New Roman"/>
          <w:color w:val="auto"/>
          <w:kern w:val="0"/>
          <w:sz w:val="24"/>
          <w:szCs w:val="24"/>
          <w:lang w:val="en-US" w:eastAsia="zh-CN" w:bidi="ar"/>
        </w:rPr>
        <w:t xml:space="preserve">+为 1km 路面时，在不同路面清洁程度、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在同样路面清洁程度条件下，车速越快，扬尘量越大；在同样车速情况下，路面越脏，扬尘量越大。因此限速行驶及保持路面清洁是减少运输车辆动力起尘的有效办法</w:t>
      </w:r>
      <w:r>
        <w:rPr>
          <w:rFonts w:hint="eastAsia" w:ascii="Times New Roman" w:hAnsi="Times New Roman" w:cs="Times New Roman"/>
          <w:color w:val="auto"/>
          <w:kern w:val="0"/>
          <w:sz w:val="24"/>
          <w:szCs w:val="24"/>
          <w:lang w:val="en-US" w:eastAsia="zh-CN" w:bidi="ar"/>
        </w:rPr>
        <w:t>。</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运输车辆动力起尘属于等效线源，扬尘会向道路两边扩散，最大扬尘浓度出现在道路两侧。随着离道路的距离增加，扬尘浓度逐渐递减，直至最后趋于背景值。据类别调查，一般情况下，施工场地在自然风作用下产生的扬尘影响范围在周边 100m 范围。</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2、污染防治</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施工期大气污染治理措施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1、燃油废气防治措施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①选用先进的施工机械，减少油耗和燃油废气污染；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②尽量使用电气化设备，少使用燃油设备；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③施工阶段做好设备的维修和养护工作，使机械设备处于良好的工作状态，减少油耗，同时降低污染；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④尽量将燃油设备工作场所移至当地常年主导风下风向和场地开阔的地方，以利于污染物的扩散。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2、焊烟防治措施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采用半自动焊接方式进行，焊烟产生量较小。施工场地地势开阔，利于焊接烟气扩散，减少对周围环境的影响。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3、扬尘防治措施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为有效减少建设工地扬尘污染，施工建设中环评提出以下措施减少扬尘排放：</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① 项目施工工地严格落实施工现场管理，在施工现场须湿法作业，对施工作业区进行打围作业，不准施工车辆带泥出门、严禁运渣车辆冒顶装载和现场焚烧废弃物。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② 在施工现场采取湿法作业，施工场地在非雨天场地干燥时适量洒水，保持施工区土壤水分，洒水区域包括正在施工的区域、主要运输道路等。洒水频次由现场监理人员根据实际情况而定，在施工场地清理阶段，做到先洒水，后清扫，防止扬尘产生。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③ 禁止散装运输水泥等粉状物料，严禁运输途中扬尘散落，储存时应堆入库房。必要时设围栏并用篷布覆盖，定时洒水防止飞扬；土、砂、石料运输禁止超载，装高不得超过车厢板，并盖篷布，严禁沿途撒落。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④ 风速四级以上易产生扬尘时暂停土方开挖，采取覆盖堆料、湿润等措施，有效减少扬尘污染；及时清运施工废弃物，暂时不能清运的应采取覆盖等措施；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⑤ 合理科学制定运输车辆运行班次，减少行驶动力扬尘起尘量，定期对道路进行洒水抑尘，开挖出的土石方和建材加强围栏，表面用篷布覆盖；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⑥ 工程完毕后及时清理施工场地。对施工场地、堆料场等，除及时进行清理外，恢复临时占地原有使用功能。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⑦ 施工单位必须选用符合国家卫生防护标准的施工机械设备和运输工具，确保废气排放符合国家有关标准的规定。 </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⑧ 车辆及施工器械在施工过程中应尽量避免扰动原始地面、碾压周围地区的植被，不得随意开辟便道，严禁车辆下道行驶，并对施工集中区进行喷洒作业，以减少大气中浮尘及扬尘来源，减轻对动植物的干扰</w:t>
      </w:r>
    </w:p>
    <w:p>
      <w:pPr>
        <w:keepNext w:val="0"/>
        <w:keepLines w:val="0"/>
        <w:widowControl/>
        <w:suppressLineNumbers w:val="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3.1.2.3 声环境质量影响分析</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1、影响分析</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施工过程中的噪声主要来自施工机械、设备和运输车辆。目前我国管道建设施工中使用的机械、设备和运输车辆主要有：挖掘机、推土机、轮式装载车、吊管机、各类电焊机、柴油发电机组等。在实际施工过程中，往往是各种机械同时工作，各种噪声源辐射的相互迭加，噪声级将会更高，辐射面也会更大。施工噪声对周围地区声环境的影响，将采用《建筑施工场界环境噪声排放标准》（GB12523-2011）进行评价</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工程施工沿线涉及的声学环境敏感点较多，施工噪声将对这些敏感点产生不同程度的影响，夜间影响尤为明显，因此，必须严格采取措施，最大限度地降低施工噪声对环境保护目标的影响。</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2、污染防治</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环评要求提出以下噪声防治措施：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① 合理布局施工现场，在居民点附近施工时采取临时的消声围护结构或临时隔声屏障。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② 合理安排施工作业时间，严格控制各种强噪声施工机械的作业时间，夜间（22：00～06：00）禁止任何施工作业，如果工艺要求必须连续作业的强噪声施工，应首先征得当地环保等主管部门的同意。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③ 合理安排施工运输车辆的走行路线和走行时间，车辆运行线路尽量避开居民区。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④ 尽量采用低轻声机械，工程施工所用的施工机械设备应事先对其常规工作状态下的噪声测量，超过国家标准的机械应禁止入场施工。施工过程中还应经常对设备进行维修保养，避免由于设备性能差而使噪声增加的现象发生。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⑤ 施工单位通过文明施工、加强有效管理加以缓解人为因素造成的噪声强度升高。施工方应该合理有效的制定施工计划，提离工作效率，把施工时间控制在最短范围内，并提前发布公告，最大限度的争取民众支持。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⑥ 施工单位要加强对施工人员的教育，提高作业人员的环保意识，坚持科学组织、文明施工</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⑦ 根据国家环保局《关于贯彻实施〈中华人民共和国环境污染防治法〉的通知》(环控[1997]066 号)的规定，建设施工单位在施工前应向环保部门申请登记。除抢修、抢险作业和因生产工艺上要求或者特殊要求必须连续作业外，禁止夜间进行产生环境噪声污染的建筑施工作业，“因特殊要求必须连续作业的，必须有县级以上人民政府或者有关主管部门的证明”，并公告附近居民。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⑧ 项目在清管试压过程中会使用空压机，鉴于空压机产生噪声较大，项目试压点分布较多，试压时间较短的特点，环评要求，项目应将试压点设置在远离居民点、学校、医院等敏感区域，合理安排试压时间，使噪声经过衰减后不会对居民点造成影响</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本工程在同一现场施工的时间较短，约 3-5 天左右，施工噪声在进行以上防治措施后，对当声环境影响较小。 </w:t>
      </w:r>
    </w:p>
    <w:p>
      <w:pPr>
        <w:keepNext w:val="0"/>
        <w:keepLines w:val="0"/>
        <w:widowControl/>
        <w:suppressLineNumbers w:val="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3.1.2.5 固体废物影响分析</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施工期产生的固体废物主要来源于管沟开挖、管道穿跨越工程、焊接、防腐等过程产生的施工废料、废弃泥浆、工程弃土、弃渣和施工人员产生的生活垃圾。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1) 施工废料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施工废料主要包括焊接作业中产生废焊条、防腐作业中产生的废防腐材料及施工过程中产生的废混凝土、废土石料等。根据类比调查，施工废料的产生量约为 0.2t/km，本工程施工过程产生的施工废料量约为 2.92t。施工废料部分可回收利用，剩余废料依托当地职能部门有偿清运。施工废料主要包括焊接作业中产生废焊条、防腐作业中产生的废防腐材料及施工过程中产生的废混凝土等。施工废料部分可回收利用，剩余废料依托当地职能部门有偿清运</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2) 生活垃圾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根据类比调查，一般地段管线施工生活垃圾产生量为 380kg/km，新建管道长 </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 xml:space="preserve">，则一般线路生活垃圾产生量约 5.55t。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施工生活垃圾应袋装收集，垃圾实行袋装化，并集中收入项目垃圾桶内，依托当地环卫部门处置，纳入城市垃圾清运系统。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3) 废弃泥浆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废弃泥浆来自定向钻施工过程。在定向钻穿越施工过程中所用泥浆有成孔和护孔壁性能，起清扫钻屑、传递动力、降低钻进及回拖阻力等作用。定向钻穿越大中型河流和沟渠的施工过程中需使用配制泥浆，其主要成份为膨润土，含有少量Na</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CO</w:t>
      </w:r>
      <w:r>
        <w:rPr>
          <w:rFonts w:hint="default" w:ascii="Times New Roman" w:hAnsi="Times New Roman" w:eastAsia="宋体" w:cs="Times New Roman"/>
          <w:color w:val="auto"/>
          <w:kern w:val="0"/>
          <w:sz w:val="24"/>
          <w:szCs w:val="24"/>
          <w:vertAlign w:val="subscript"/>
          <w:lang w:val="en-US" w:eastAsia="zh-CN" w:bidi="ar"/>
        </w:rPr>
        <w:t>3</w:t>
      </w:r>
      <w:r>
        <w:rPr>
          <w:rFonts w:hint="default" w:ascii="Times New Roman" w:hAnsi="Times New Roman" w:eastAsia="宋体" w:cs="Times New Roman"/>
          <w:color w:val="auto"/>
          <w:kern w:val="0"/>
          <w:sz w:val="24"/>
          <w:szCs w:val="24"/>
          <w:lang w:val="en-US" w:eastAsia="zh-CN" w:bidi="ar"/>
        </w:rPr>
        <w:t>，呈弱碱性，对土壤的渗透性差。施工过程中泥浆可重复利用；到施工结束后剩余泥浆（约为泥浆总量的 40%），经 pH 调节为中性后作为废物收集在泥浆坑中，经当地环保部门允可，固化处理后就地埋入防渗的泥浆池中或拉运至指定地点填埋。</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4) 工程弃土、弃渣</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施工过程中的弃土、弃渣土石方主要来自管沟开挖、穿跨越、修建施工便道以及输气工艺站场。本工程在建设中土石方量依据各类施工工艺分段进行调配，按照地貌单元及不同施工工艺分别进行平衡，尽量做到各类施工工艺及各标段土石方平衡。</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 在耕作区开挖时，熟土(表层耕作土)和生土(下层土)分开堆放，管沟回填按生、熟土顺序填放，保护耕作层。</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 围堰大开挖在枯水期施工，围堰工程量小且标准较低。开挖时需要在河流的上下游修筑围堰，土料取于河流两侧作业带管沟，施工完毕后对围堰进行拆除，将围堰用土还原河流两侧作业带管沟内，无弃方。</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(3) 顶管方式穿越公路时及碎石路，会产生多余土方。该部分多余土方主要为泥土和碎石，用于地方乡道建设填料或道路护坡，无弃方。</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(4) 穿越河流时，产生一定量弃土弃渣，本着能用少弃，尽量就地平衡土石方的原则，部分弃土弃石用于附近站场阀室建设、护坡、洞口防护和道路修筑等，其余部分置于附近弃渣场。</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(5) 输气站场设在地形平坦处，基本实现挖填平衡，无弃土弃渣场。</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本工程挖方共计 52.10 万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（包括表土剥离 17.14 万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），填方共计32.13 万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（包括表土回覆 17.13 万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），通过外购形式获得，弃方 20.93 万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（含松方 29.34 万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），全部堆弃于弃土场。</w:t>
      </w:r>
    </w:p>
    <w:p>
      <w:pPr>
        <w:keepNext w:val="0"/>
        <w:keepLines w:val="0"/>
        <w:widowControl/>
        <w:suppressLineNumbers w:val="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eastAsia="宋体" w:cs="Times New Roman"/>
          <w:color w:val="auto"/>
          <w:kern w:val="0"/>
          <w:sz w:val="24"/>
          <w:szCs w:val="24"/>
          <w:lang w:val="en-US" w:eastAsia="zh-CN" w:bidi="ar"/>
        </w:rPr>
        <w:t>据主体初步设计资料数据，本工程开挖土石方 52.10 万 m³，其中管道工程 区开挖 50.99 万 m³（含管沟开挖 12.02 万 m³，扫线劈方量 22.85 万 m³，剥离表土 16.12 万 m³）、站场区开挖 0.42 万 m³、施工道路区开挖 0.69 万 m</w:t>
      </w:r>
      <w:r>
        <w:rPr>
          <w:rFonts w:hint="default" w:ascii="Times New Roman" w:hAnsi="Times New Roman" w:eastAsia="宋体" w:cs="Times New Roman"/>
          <w:color w:val="auto"/>
          <w:kern w:val="0"/>
          <w:sz w:val="16"/>
          <w:szCs w:val="16"/>
          <w:lang w:val="en-US" w:eastAsia="zh-CN" w:bidi="ar"/>
        </w:rPr>
        <w:t>3</w:t>
      </w:r>
      <w:r>
        <w:rPr>
          <w:rFonts w:hint="default" w:ascii="Times New Roman" w:hAnsi="Times New Roman" w:eastAsia="宋体" w:cs="Times New Roman"/>
          <w:color w:val="auto"/>
          <w:kern w:val="0"/>
          <w:sz w:val="24"/>
          <w:szCs w:val="24"/>
          <w:lang w:val="en-US" w:eastAsia="zh-CN" w:bidi="ar"/>
        </w:rPr>
        <w:t>。回填土石方 32.13 万 m³，其中管道工程区回填 31.23 万 m³（含管沟回填 9.87 万 m³，劈方段回填 5.13 万 m³，剥离表土 17.13 万 m³）、站场区回填 0.20 万 m³、施工道路回填 0.70 万 m³，主体工程的土石方平衡见表</w:t>
      </w:r>
      <w:r>
        <w:rPr>
          <w:rFonts w:hint="eastAsia" w:ascii="Times New Roman" w:hAnsi="Times New Roman" w:cs="Times New Roman"/>
          <w:color w:val="auto"/>
          <w:kern w:val="0"/>
          <w:sz w:val="24"/>
          <w:szCs w:val="24"/>
          <w:lang w:val="en-US" w:eastAsia="zh-CN" w:bidi="ar"/>
        </w:rPr>
        <w:t>。</w:t>
      </w:r>
    </w:p>
    <w:p>
      <w:pPr>
        <w:keepNext w:val="0"/>
        <w:keepLines w:val="0"/>
        <w:widowControl/>
        <w:suppressLineNumbers w:val="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eastAsia="宋体" w:cs="Times New Roman"/>
          <w:b/>
          <w:bCs/>
          <w:color w:val="auto"/>
          <w:kern w:val="0"/>
          <w:sz w:val="24"/>
          <w:szCs w:val="24"/>
          <w:lang w:val="en-US" w:eastAsia="zh-CN" w:bidi="ar"/>
        </w:rPr>
        <w:t>3.1.3临时工程环境合理性分析</w:t>
      </w:r>
      <w:r>
        <w:rPr>
          <w:rFonts w:hint="default" w:ascii="Times New Roman" w:hAnsi="Times New Roman" w:eastAsia="宋体" w:cs="Times New Roman"/>
          <w:b/>
          <w:bCs/>
          <w:color w:val="auto"/>
          <w:kern w:val="0"/>
          <w:sz w:val="28"/>
          <w:szCs w:val="28"/>
          <w:lang w:val="en-US" w:eastAsia="zh-CN" w:bidi="ar"/>
        </w:rPr>
        <w:t xml:space="preserve">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3.1.3.1 临时堆管场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根据主体工程施工组织设计，工程建设过程中需设置堆管场，共设置 1 处，征地 （100m×100m），堆管场根据原有地方道路和当地地形结合，以约 2km 管道附近设置一座堆管场来进行控制和布置，用于堆放管材、设备等，在项目建成后对堆场进行植被恢复。站场工程布置1 处施工临时设施区，施工生活及办公用房主要租用当地民房解决，主要占地耕地及灌木草丛等，施工结束后将及时迹地恢复，不会当地生活生产、生态环境造成太大影响。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评价要求在堆管场选址过程中，应尽量选取管道沿线的荒地，尽可能少占用林地，需远离居民点设置，减少在堆管、运管过程中对居民的影响，尽量选取现有道路可以达到的位置，减少施工便道的建设量。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3.1.3.2 弃土场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根据项目水土保持方案，经土石方平衡分析，本工程挖方共计 52.10 万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（包括表土剥离 17.14 万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），填方共计32.13 万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（包括表土回覆 17.13 万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），通过外购形式获得，弃方 20.93 万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（含松方 29.34 万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），全部堆弃于弃土场。设置一处弃渣场，平面面积 6.65 万m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评价要求所选土场位置需较近处的荒地、洼地，弃渣转运方便，距离居民等环境保护目标较远，不得影响公共设施、工业企业、居民点等的安全；所选土场不在河道、湖泊、水库管理范围，应为属坡地型土场，场址避开泥石流冲沟、滑坡体、崩塌等不良地质地段，不影响河道行洪安全；具体要求按水保方式实施。</w:t>
      </w:r>
    </w:p>
    <w:p>
      <w:pPr>
        <w:keepNext w:val="0"/>
        <w:keepLines w:val="0"/>
        <w:widowControl/>
        <w:suppressLineNumbers w:val="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eastAsia="宋体" w:cs="Times New Roman"/>
          <w:color w:val="auto"/>
          <w:kern w:val="0"/>
          <w:sz w:val="24"/>
          <w:szCs w:val="24"/>
          <w:lang w:val="en-US" w:eastAsia="zh-CN" w:bidi="ar"/>
        </w:rPr>
        <w:t>项目所在地区交通比较方便，但是由于本工程绝大部分经过低山、丘陵地貌，从山脊通过，植被茂盛，交通条件差，本工程新建施工便道 3.52km，改扩建 5.24km，路基宽度 4.5m，路面宽度3m，连接堆管场各工区至现有可利用公路，以满足本工程施工交通要求。施工道路临时占地 2.82hm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，使用结束后将及时迹地恢复。</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3.1.4占地合理性分析</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根据项目水土保持方案，本工程永久占地包括站场、进场道路、管道三桩、施工道路等占地，临时占地包括管线施工作业带、河流穿越工程、公路穿越工程等占地。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本工程总占地 46.23hm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，其中永久占地 55500m2，，临时占地 37.21hm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；占地类型中，采矿用地 0.09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，住宅用地 0.85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，耕地 27.01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，林地 8.92hm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，草地 0.78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，水域及水利设施用地 1.86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，设施农用地 6.72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 xml:space="preserve">。占地性质及占地类型具体见表 。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1、占地面积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（1）管道工程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拟建线路途经区域属于丘陵、低山地貌，山势绵延起伏，路由选择时已避开人烟密集地带，且近年来封山育林成效显著，大部分线路无公路可通达，管道施工时需修筑施工便道，交通条件差，社会可依托条件差，项目已考虑施工道路占地，项目征地满足施工要求。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（2）站场工程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从占地数量上分析，本工程布置紧凑，合理规划场区布置，严格控制道路及管线占地面积，做到了节约用地。永久性建筑物均在本工程永久征地范围内建设，尽量采用先进工艺和科学的工艺流程，压缩各生产建构筑物本体尺寸。根据《石油天然气工程项目用地控制指标》（建标[2016]14 号），分输阀室用地控制指标为0.42hm²，监控阀室用地控制指标位 0.12 hm²。本工程站场永久占地不存在超标占地问题，符合要求。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（3）施工道路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拟建线路途经区域属于丘陵、低山地貌，山势陡峻绵延，地形起伏大，路由 选择时已 避开人烟密集地带，且近年来封山育林成效显著，大部分线路无公路 可通达，管道施工时需 修筑施工便道，交通条件差，社会可依托条件差，项目已考虑施工道路占地，项目征地满足施工要求。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（4）其他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线路分段施工，周期短，经现场调查，施工材料等均堆放于施工作业带范围内，施工营地采取租用周边村名房屋解决，无需重新考虑施工生产生活场地用地，项目征地满足施工要求。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2、占地性质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根据项目水保方案，本工程总占地 46.23hm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，其中永久占地 55500m2，临时占地 37.21hm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临时占地，在工程施工结束后，进行土地整治并根据原始占地类型，将耕地、园地进行复耕，林地、草地恢复植被，保留原有水系和道路，不会改变土地利用用途，永久占地面积较小采取相应的补偿措施对土地利用影响较小</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3、占地类型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从占地类型分析，本工程占地类型中，采矿用地 0.09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，住宅用地 0.85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，耕地 27.01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，林地 8.92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，草地 0.78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，水域及水利设施用地 1.86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，设施农用地 6.72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。旱地占 21.19%，水田占 34.44%，林地占 19.29%，果园和经济林地占 2.8%，草地占 1.69%，居民点用地占 1.83%，水域及水利设施用地占 4.05%。工程占地以旱地、水田、林地。从保护耕地角度考虑，建议施工过程中加强管理，优化施工工艺，尽量控制扰动范围，临时占用的耕地在施工结束后及时进行土地整治与复耕；从保护林地及水土保持设施的角度来看，本工程沿线将不可避免的占用部分林地，占用林地会造成当地的森林覆盖率有所下降， 短时期内会增加水土流失发生的可能性，施工期间须采取措施防治水土流失，施工结束后进行植被恢复，以减小占用林地对森林覆盖率及项目区水土流失影响。其余地类占用面积相对较小，其对水土流失方面的不利影响相对也小。</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综上所述，工程在占地面积、占地性质、占地类型等方面对水土保持而言并未形成制约，但由于工程占用旱地、水田、林地面积较大，因此建议主体工程在施工过程中加强管理，优化施工工艺，严格控制施工扰动范围，以减少对沿线耕地及林地的扰动。此外，主体施工结束后，及时采取措施进行防护，减少裸露时间，降低项目水土流失量。</w:t>
      </w:r>
    </w:p>
    <w:p>
      <w:pPr>
        <w:keepNext w:val="0"/>
        <w:keepLines w:val="0"/>
        <w:widowControl/>
        <w:suppressLineNumbers w:val="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eastAsia="宋体" w:cs="Times New Roman"/>
          <w:b/>
          <w:bCs/>
          <w:color w:val="auto"/>
          <w:kern w:val="0"/>
          <w:sz w:val="28"/>
          <w:szCs w:val="28"/>
          <w:lang w:val="en-US" w:eastAsia="zh-CN" w:bidi="ar"/>
        </w:rPr>
        <w:t xml:space="preserve">3.2运行期环境影响分析 </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 xml:space="preserve">运行期环境影响包括正常运行和事故状态两种工况。 </w:t>
      </w:r>
    </w:p>
    <w:p>
      <w:pPr>
        <w:keepNext w:val="0"/>
        <w:keepLines w:val="0"/>
        <w:widowControl/>
        <w:suppressLineNumbers w:val="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3.2.1</w:t>
      </w:r>
      <w:r>
        <w:rPr>
          <w:rFonts w:hint="default" w:ascii="Times New Roman" w:hAnsi="Times New Roman" w:eastAsia="宋体" w:cs="Times New Roman"/>
          <w:b/>
          <w:bCs/>
          <w:color w:val="auto"/>
          <w:kern w:val="0"/>
          <w:sz w:val="24"/>
          <w:szCs w:val="24"/>
          <w:lang w:val="en-US" w:eastAsia="zh-CN" w:bidi="ar"/>
        </w:rPr>
        <w:t>管道正常运行时的环境影响分析</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运行期间，正常运行状态下，管道埋设于地下，不会对外环境造成影响，输气集输系统的运行控制、计量调配、维护检修、事故处理等作业都在集输站场进行，因此污染物主要集中在站场部分。沿线站场工艺如下：</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1、扩建元坝首站工艺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元坝首站现接收元坝气田海相和陆相进气，目前主要具备过滤分离、计量、增压、外输普光首站和分输阆中用气等功能。本次元坝首站扩建，仅在已建工艺装置区内扩建一套收发球装置。</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2、陵江清管站工艺</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接收元坝首站来气，干线清管时天然气经干线除尘后直接输往中贵线。天然气除尘采用旋风分离器。不清管或站内发生事故或检修时，天然气可通过越站旁通直接输往下游干线，站内清管装置均具备双向收发功能，为后期发展用户预留分输接头及建设场地。</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场站污染物产生情况如下：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（1）废气：清管、超压、事故时放空排放的废气。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（2）污水：分离气田水，绵阳分输站生活污水。 </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（3）噪声：场站内节流阀、汇管和其他设备运行噪声，放空区超压、事故放空时的噪声。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b/>
          <w:bCs/>
          <w:color w:val="auto"/>
          <w:sz w:val="24"/>
          <w:szCs w:val="24"/>
          <w:lang w:val="en-US" w:eastAsia="zh-CN"/>
        </w:rPr>
        <w:t>3.2.1.1</w:t>
      </w:r>
      <w:r>
        <w:rPr>
          <w:rFonts w:hint="default" w:ascii="Times New Roman" w:hAnsi="Times New Roman" w:eastAsia="宋体" w:cs="Times New Roman"/>
          <w:b/>
          <w:bCs/>
          <w:color w:val="auto"/>
          <w:kern w:val="0"/>
          <w:sz w:val="24"/>
          <w:szCs w:val="24"/>
          <w:lang w:val="en-US" w:eastAsia="zh-CN" w:bidi="ar"/>
        </w:rPr>
        <w:t xml:space="preserve">大气环境影响分析 </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1、影响分析</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本工程正常生产时，天然气处于完全密闭系统内，无废气产生。其废气主要是清管、超压和事故检修时放空的废气。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放空过程通过各站场放空管排放。放空的频率视输气管线的运行状况、设备设施检修安排及意外事故频率而定。元坝首站依托原有放空装置，陵江清管站采用冷放空方式。根据建设单位同类型项目的运行情况，放空次数少，排放时间短。本工程集输的天然气中 H</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S 含量较低，运营中产生的废气主要来自于清管作时经放空管燃烧排放的废气，经点火灼烧天然气中的烃类转化为 CO</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 xml:space="preserve"> 和 H</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O，因此排放的废气中主要污染物为 NO</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、烟尘。一次排放时间一般为 2-5min，放空频率小，持续时间短。</w:t>
      </w:r>
    </w:p>
    <w:p>
      <w:pPr>
        <w:keepNext w:val="0"/>
        <w:keepLines w:val="0"/>
        <w:widowControl/>
        <w:suppressLineNumbers w:val="0"/>
        <w:jc w:val="left"/>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2、污染防治</w:t>
      </w:r>
    </w:p>
    <w:p>
      <w:pPr>
        <w:pStyle w:val="2"/>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所在区域为农村，扩散条件较好，大气环境质量良好，一年1~2的的检修，正常排放大气污染物，频率较低，持续时间较短，且天然气本身为清洁能源，因此工程正常运行期加强管理，不会对周边大气环境造成影响。</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sz w:val="24"/>
          <w:szCs w:val="24"/>
          <w:lang w:val="en-US" w:eastAsia="zh-CN"/>
        </w:rPr>
        <w:t>3.2.1.2</w:t>
      </w:r>
      <w:r>
        <w:rPr>
          <w:rFonts w:hint="default" w:ascii="Times New Roman" w:hAnsi="Times New Roman" w:eastAsia="宋体" w:cs="Times New Roman"/>
          <w:b/>
          <w:bCs/>
          <w:color w:val="auto"/>
          <w:kern w:val="0"/>
          <w:sz w:val="24"/>
          <w:szCs w:val="24"/>
          <w:lang w:val="en-US" w:eastAsia="zh-CN" w:bidi="ar"/>
        </w:rPr>
        <w:t>水环境影响分析</w:t>
      </w:r>
    </w:p>
    <w:p>
      <w:pPr>
        <w:keepNext w:val="0"/>
        <w:keepLines w:val="0"/>
        <w:widowControl/>
        <w:suppressLineNumbers w:val="0"/>
        <w:jc w:val="left"/>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1、影响分析</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运营期废水主要为站场内生活污水和气田水。</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生活污水：本工程元坝首站为在原址扩建，不新增员工，无新增用水需求；陵江清管站为无人值守站，但考虑 4 人休息的用排水量，根据</w:t>
      </w:r>
      <w:r>
        <w:rPr>
          <w:rFonts w:hint="default" w:ascii="Times New Roman" w:hAnsi="Times New Roman" w:eastAsia="宋体" w:cs="Times New Roman"/>
          <w:bCs/>
          <w:color w:val="auto"/>
          <w:sz w:val="24"/>
        </w:rPr>
        <w:t>《四川省地方标准—用水定额》（川府函〔2021〕8号）</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color w:val="auto"/>
          <w:kern w:val="0"/>
          <w:sz w:val="24"/>
          <w:szCs w:val="24"/>
          <w:lang w:val="en-US" w:eastAsia="zh-CN" w:bidi="ar"/>
        </w:rPr>
        <w:t>将陵江清管站归为“公共管理、社会保障和社会组织”，对应用水定额为38m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/(人·a)，则工程运营期对应用水为152m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/a。排污系数取0.85，则工程运营期排水量为129.2m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/a。陵江清管站站附近均无市政排水系统可供依托。拟将站场内生活污水经排水管道收集、化粪池预处理后暂存污水集水池，用作场地绿化及周边农田施肥。</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气田水：本工程输送天然气较干燥，站内几乎不产气田水，仅有分离器产生少量气田水，元坝首站气田水进入场站内现已有的污水罐中，依托现有设施处理。本工程陵江清管气田水约 30m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 /a。全部暂存于站场内的排污池中，定期采用罐车外运至元坝合作的处理单位进行处理。</w:t>
      </w:r>
    </w:p>
    <w:p>
      <w:pPr>
        <w:pStyle w:val="2"/>
        <w:jc w:val="both"/>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2、污染防治</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val="0"/>
          <w:bCs w:val="0"/>
          <w:color w:val="auto"/>
          <w:lang w:val="en-US" w:eastAsia="zh-CN"/>
        </w:rPr>
        <w:t>生活污水：</w:t>
      </w:r>
      <w:r>
        <w:rPr>
          <w:rFonts w:hint="default" w:ascii="Times New Roman" w:hAnsi="Times New Roman" w:eastAsia="宋体" w:cs="Times New Roman"/>
          <w:color w:val="auto"/>
          <w:lang w:val="en-US" w:eastAsia="zh-CN"/>
        </w:rPr>
        <w:t>根据工程设计，陵江清管站站场绿化面积1000m</w:t>
      </w:r>
      <w:r>
        <w:rPr>
          <w:rFonts w:hint="default" w:ascii="Times New Roman" w:hAnsi="Times New Roman" w:eastAsia="宋体" w:cs="Times New Roman"/>
          <w:color w:val="auto"/>
          <w:vertAlign w:val="superscript"/>
          <w:lang w:val="en-US" w:eastAsia="zh-CN"/>
        </w:rPr>
        <w:t>2</w:t>
      </w:r>
      <w:r>
        <w:rPr>
          <w:rFonts w:hint="default" w:ascii="Times New Roman" w:hAnsi="Times New Roman" w:eastAsia="宋体" w:cs="Times New Roman"/>
          <w:color w:val="auto"/>
          <w:vertAlign w:val="baseline"/>
          <w:lang w:val="en-US" w:eastAsia="zh-CN"/>
        </w:rPr>
        <w:t>，</w:t>
      </w:r>
      <w:r>
        <w:rPr>
          <w:rFonts w:hint="default" w:ascii="Times New Roman" w:hAnsi="Times New Roman" w:eastAsia="宋体" w:cs="Times New Roman"/>
          <w:color w:val="auto"/>
          <w:kern w:val="0"/>
          <w:sz w:val="24"/>
          <w:szCs w:val="24"/>
          <w:lang w:val="en-US" w:eastAsia="zh-CN" w:bidi="ar"/>
        </w:rPr>
        <w:t>根据</w:t>
      </w:r>
      <w:r>
        <w:rPr>
          <w:rFonts w:hint="default" w:ascii="Times New Roman" w:hAnsi="Times New Roman" w:eastAsia="宋体" w:cs="Times New Roman"/>
          <w:bCs/>
          <w:color w:val="auto"/>
          <w:sz w:val="24"/>
        </w:rPr>
        <w:t>《四川省地方标准—用水定额》（川府函〔2021〕8号）</w:t>
      </w:r>
      <w:r>
        <w:rPr>
          <w:rFonts w:hint="default" w:ascii="Times New Roman" w:hAnsi="Times New Roman" w:eastAsia="宋体" w:cs="Times New Roman"/>
          <w:bCs/>
          <w:color w:val="auto"/>
          <w:sz w:val="24"/>
          <w:lang w:eastAsia="zh-CN"/>
        </w:rPr>
        <w:t>绿化管理用水定额为</w:t>
      </w:r>
      <w:r>
        <w:rPr>
          <w:rFonts w:hint="default" w:ascii="Times New Roman" w:hAnsi="Times New Roman" w:eastAsia="宋体" w:cs="Times New Roman"/>
          <w:bCs/>
          <w:color w:val="auto"/>
          <w:sz w:val="24"/>
          <w:lang w:val="en-US" w:eastAsia="zh-CN"/>
        </w:rPr>
        <w:t>0.77m</w:t>
      </w:r>
      <w:r>
        <w:rPr>
          <w:rFonts w:hint="default" w:ascii="Times New Roman" w:hAnsi="Times New Roman" w:eastAsia="宋体" w:cs="Times New Roman"/>
          <w:bCs/>
          <w:color w:val="auto"/>
          <w:sz w:val="24"/>
          <w:vertAlign w:val="superscript"/>
          <w:lang w:val="en-US" w:eastAsia="zh-CN"/>
        </w:rPr>
        <w:t>3</w:t>
      </w:r>
      <w:r>
        <w:rPr>
          <w:rFonts w:hint="default" w:ascii="Times New Roman" w:hAnsi="Times New Roman" w:eastAsia="宋体" w:cs="Times New Roman"/>
          <w:bCs/>
          <w:color w:val="auto"/>
          <w:sz w:val="24"/>
          <w:vertAlign w:val="baseline"/>
          <w:lang w:val="en-US" w:eastAsia="zh-CN"/>
        </w:rPr>
        <w:t>/（m</w:t>
      </w:r>
      <w:r>
        <w:rPr>
          <w:rFonts w:hint="default" w:ascii="Times New Roman" w:hAnsi="Times New Roman" w:eastAsia="宋体" w:cs="Times New Roman"/>
          <w:bCs/>
          <w:color w:val="auto"/>
          <w:sz w:val="24"/>
          <w:vertAlign w:val="superscript"/>
          <w:lang w:val="en-US" w:eastAsia="zh-CN"/>
        </w:rPr>
        <w:t>2</w:t>
      </w:r>
      <w:r>
        <w:rPr>
          <w:rFonts w:hint="default" w:ascii="Times New Roman" w:hAnsi="Times New Roman" w:eastAsia="宋体" w:cs="Times New Roman"/>
          <w:bCs/>
          <w:color w:val="auto"/>
          <w:sz w:val="24"/>
          <w:vertAlign w:val="baseline"/>
          <w:lang w:val="en-US" w:eastAsia="zh-CN"/>
        </w:rPr>
        <w:t>·a），则站场一年所需绿化用水770</w:t>
      </w:r>
      <w:r>
        <w:rPr>
          <w:rFonts w:hint="default" w:ascii="Times New Roman" w:hAnsi="Times New Roman" w:eastAsia="宋体" w:cs="Times New Roman"/>
          <w:bCs/>
          <w:color w:val="auto"/>
          <w:sz w:val="24"/>
          <w:lang w:val="en-US" w:eastAsia="zh-CN"/>
        </w:rPr>
        <w:t>m</w:t>
      </w:r>
      <w:r>
        <w:rPr>
          <w:rFonts w:hint="default" w:ascii="Times New Roman" w:hAnsi="Times New Roman" w:eastAsia="宋体" w:cs="Times New Roman"/>
          <w:bCs/>
          <w:color w:val="auto"/>
          <w:sz w:val="24"/>
          <w:vertAlign w:val="superscript"/>
          <w:lang w:val="en-US" w:eastAsia="zh-CN"/>
        </w:rPr>
        <w:t>3</w:t>
      </w:r>
      <w:r>
        <w:rPr>
          <w:rFonts w:hint="default" w:ascii="Times New Roman" w:hAnsi="Times New Roman" w:eastAsia="宋体" w:cs="Times New Roman"/>
          <w:bCs/>
          <w:color w:val="auto"/>
          <w:sz w:val="24"/>
          <w:vertAlign w:val="baseline"/>
          <w:lang w:val="en-US" w:eastAsia="zh-CN"/>
        </w:rPr>
        <w:t>，工程排水129.2</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/a，绿化用水可接纳站场生活废水排放量。生活污水处理方式及去向合理，不直接外排经自然水体，不会对周边水环境造成影响。</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sz w:val="24"/>
          <w:szCs w:val="24"/>
          <w:lang w:eastAsia="zh-CN"/>
        </w:rPr>
        <w:t>气田水：元坝首站本身扩建仅新增</w:t>
      </w:r>
      <w:r>
        <w:rPr>
          <w:rFonts w:hint="default" w:ascii="Times New Roman" w:hAnsi="Times New Roman" w:eastAsia="宋体" w:cs="Times New Roman"/>
          <w:color w:val="auto"/>
          <w:kern w:val="0"/>
          <w:sz w:val="24"/>
          <w:szCs w:val="24"/>
          <w:lang w:val="en-US" w:eastAsia="zh-CN" w:bidi="ar"/>
        </w:rPr>
        <w:t>一套收发球装置，无排污需求，其原有气田水设施运行状态良好，不对其进行赘述分析。</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根据《元坝气田产能建设（陆相一期）项目》环境影响报告书（成都中成科创环保科技有限公司 2021.3）知元坝营运期气田水和设备检修废水经罐车输拉运至大坪污水处理站或者元坝污水处理站预处理后运输至回注井回注地层或者经元坝气田采出水零排放综合处理工程处理后回用于元坝净化厂。</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本工程陵江清管站气田水参照元坝首站气田水处理处置方式进行处理处置后不会对外环境造成影响。</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sz w:val="24"/>
          <w:szCs w:val="24"/>
          <w:lang w:val="en-US" w:eastAsia="zh-CN"/>
        </w:rPr>
        <w:t>3.2.1.3</w:t>
      </w:r>
      <w:r>
        <w:rPr>
          <w:rFonts w:hint="default" w:ascii="Times New Roman" w:hAnsi="Times New Roman" w:eastAsia="宋体" w:cs="Times New Roman"/>
          <w:b/>
          <w:bCs/>
          <w:color w:val="auto"/>
          <w:kern w:val="0"/>
          <w:sz w:val="24"/>
          <w:szCs w:val="24"/>
          <w:lang w:val="en-US" w:eastAsia="zh-CN" w:bidi="ar"/>
        </w:rPr>
        <w:t>声环境影响分析</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1、影响分析</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工程输气管道采用埋地敷设，在正常生产过程中不会产生噪声污染，噪声主要来源于节流阀和分离器等设备间的摩擦噪声，噪声大小与天然气输送量有关，一般天然气量越大，噪声也越大。通过类比可知，噪声源约为 65-75dB（A）。</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2、防治措施</w:t>
      </w:r>
    </w:p>
    <w:p>
      <w:pPr>
        <w:keepNext w:val="0"/>
        <w:keepLines w:val="0"/>
        <w:widowControl/>
        <w:suppressLineNumbers w:val="0"/>
        <w:ind w:firstLine="720" w:firstLineChars="300"/>
        <w:jc w:val="left"/>
        <w:rPr>
          <w:rFonts w:hint="default" w:ascii="Times New Roman" w:hAnsi="Times New Roman" w:eastAsia="宋体" w:cs="Times New Roman"/>
          <w:color w:val="auto"/>
          <w:lang w:eastAsia="zh-CN"/>
        </w:rPr>
      </w:pPr>
      <w:r>
        <w:rPr>
          <w:rFonts w:hint="default" w:ascii="Times New Roman" w:hAnsi="Times New Roman" w:eastAsia="宋体" w:cs="Times New Roman"/>
          <w:color w:val="auto"/>
          <w:sz w:val="24"/>
          <w:szCs w:val="24"/>
        </w:rPr>
        <w:t>噪声源经隔声、减震、合理布局后，对外环境影响不明显</w:t>
      </w:r>
      <w:r>
        <w:rPr>
          <w:rFonts w:hint="default" w:ascii="Times New Roman" w:hAnsi="Times New Roman" w:eastAsia="宋体" w:cs="Times New Roman"/>
          <w:color w:val="auto"/>
          <w:sz w:val="24"/>
          <w:szCs w:val="24"/>
          <w:lang w:eastAsia="zh-CN"/>
        </w:rPr>
        <w:t>。</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sz w:val="24"/>
          <w:szCs w:val="24"/>
          <w:lang w:val="en-US" w:eastAsia="zh-CN"/>
        </w:rPr>
        <w:t>3.2.1.4</w:t>
      </w:r>
      <w:r>
        <w:rPr>
          <w:rFonts w:hint="default" w:ascii="Times New Roman" w:hAnsi="Times New Roman" w:eastAsia="宋体" w:cs="Times New Roman"/>
          <w:b/>
          <w:bCs/>
          <w:color w:val="auto"/>
          <w:kern w:val="0"/>
          <w:sz w:val="24"/>
          <w:szCs w:val="24"/>
          <w:lang w:val="en-US" w:eastAsia="zh-CN" w:bidi="ar"/>
        </w:rPr>
        <w:t>固体废物环境影响分析</w:t>
      </w:r>
    </w:p>
    <w:p>
      <w:pPr>
        <w:keepNext w:val="0"/>
        <w:keepLines w:val="0"/>
        <w:widowControl/>
        <w:suppressLineNumbers w:val="0"/>
        <w:ind w:firstLine="720" w:firstLineChars="3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各站场产生的固体废物除生活垃圾外，在分离器检修、清管收球作业时也会有一定量产生，另外压缩机维修保养时还会产生部分废润滑油。 </w:t>
      </w:r>
    </w:p>
    <w:p>
      <w:pPr>
        <w:keepNext w:val="0"/>
        <w:keepLines w:val="0"/>
        <w:widowControl/>
        <w:suppressLineNumbers w:val="0"/>
        <w:ind w:firstLine="720" w:firstLineChars="3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生活垃圾：工程运行期，生活垃圾主要来自新增工作人员，本工程元坝首站为原址扩建，不新增员工，陵江清管站虽无人值守，但考虑4人休息产生的生活垃圾。根据《第一次全国污染源普查城镇生活源产排污系数手册》，各站场生活垃圾的产生量平均按0.6kg/d·人进行核算。本工程新建站场新增生活垃圾的产生量约为 0.84t/a。生活垃圾均集中收集，定期送至垃圾处理场进行填埋处理。 </w:t>
      </w:r>
    </w:p>
    <w:p>
      <w:pPr>
        <w:keepNext w:val="0"/>
        <w:keepLines w:val="0"/>
        <w:widowControl/>
        <w:suppressLineNumbers w:val="0"/>
        <w:ind w:firstLine="720" w:firstLineChars="3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清管收球作业废渣：管道运行期间产生的清管固废极少，主要成份为氧化铁粉末和粉尘，属于一般工业固废。管道每年一般进行 1～2 次清管，全线清管装置为手动操作，密闭清管通球，清管固废产生量极少。有收球装置的工艺站场在每次清管作业时将产生约 10kg 废渣，外运处理，对环境影响较小。</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废滤芯</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 xml:space="preserve">站场清管作业或分离器维护时会产生一些废滤芯，根据同类型工程得出，每座站场产生量约为 0.026t/a。本工程新增一座站场，则废滤芯产生量约为0.026t/a，根据《国家危险废物名录》，废滤芯属危险废物(HW49 其他废物)，废滤芯由具有危废处置资质的单位定期处置。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废蓄电池：站场应急电源蓄电池每5a更换一次，站场废蓄电池产生量约1t/次，则废蓄电池产生量约为 3.6t/a。根据《国家危险废物名录》，废蓄电池属危险废物(HW49 其他废物)，废蓄电池由具有危废处置资质的单位定期处置。 </w:t>
      </w:r>
    </w:p>
    <w:p>
      <w:pPr>
        <w:keepNext w:val="0"/>
        <w:keepLines w:val="0"/>
        <w:widowControl/>
        <w:suppressLineNumbers w:val="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eastAsia="宋体" w:cs="Times New Roman"/>
          <w:b/>
          <w:bCs/>
          <w:color w:val="auto"/>
          <w:kern w:val="0"/>
          <w:sz w:val="28"/>
          <w:szCs w:val="28"/>
          <w:lang w:val="en-US" w:eastAsia="zh-CN" w:bidi="ar"/>
        </w:rPr>
        <w:t xml:space="preserve">3.3事故环境影响分析 </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在运行过程中，由于操作失误、设备或阀门失控等原因会导致大量天然气排入大气环境，其中的非甲烷总烃会污染环境空气；一旦泄露的天然气发生火灾爆炸，则会产生 SO2、NOx或其他污染物，从而污染事故附近的环境空气，并对附近的人群造成伤害。本工程自动化程度非常高，一旦发生上述情况，紧急截断阀门会迅速关闭，可避免大量天然气的泄漏。</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kern w:val="0"/>
          <w:sz w:val="28"/>
          <w:szCs w:val="28"/>
          <w:lang w:val="en-US" w:eastAsia="zh-CN" w:bidi="ar"/>
        </w:rPr>
        <w:t>3.4总量控制</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废水中污染物总量控制项目为 COD 和 NH</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-N，废气污染物总量控制项目为 SO</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 xml:space="preserve"> 和 NO</w:t>
      </w:r>
      <w:r>
        <w:rPr>
          <w:rFonts w:hint="default" w:ascii="Times New Roman" w:hAnsi="Times New Roman" w:eastAsia="宋体" w:cs="Times New Roman"/>
          <w:color w:val="auto"/>
          <w:sz w:val="24"/>
          <w:szCs w:val="24"/>
          <w:vertAlign w:val="subscript"/>
          <w:lang w:val="en-US" w:eastAsia="zh-CN"/>
        </w:rPr>
        <w:t>x</w:t>
      </w:r>
      <w:r>
        <w:rPr>
          <w:rFonts w:hint="default" w:ascii="Times New Roman" w:hAnsi="Times New Roman" w:eastAsia="宋体" w:cs="Times New Roman"/>
          <w:color w:val="auto"/>
          <w:sz w:val="24"/>
          <w:szCs w:val="24"/>
          <w:lang w:val="en-US" w:eastAsia="zh-CN"/>
        </w:rPr>
        <w:t>。根据工程分析，本项目产生的生活污水经化粪池收集处理后，用于场站绿化。因此本工程 COD</w:t>
      </w:r>
      <w:r>
        <w:rPr>
          <w:rFonts w:hint="default" w:ascii="Times New Roman" w:hAnsi="Times New Roman" w:eastAsia="宋体" w:cs="Times New Roman"/>
          <w:color w:val="auto"/>
          <w:sz w:val="24"/>
          <w:szCs w:val="24"/>
          <w:vertAlign w:val="subscript"/>
          <w:lang w:val="en-US" w:eastAsia="zh-CN"/>
        </w:rPr>
        <w:t xml:space="preserve">Cr </w:t>
      </w:r>
      <w:r>
        <w:rPr>
          <w:rFonts w:hint="default" w:ascii="Times New Roman" w:hAnsi="Times New Roman" w:eastAsia="宋体" w:cs="Times New Roman"/>
          <w:color w:val="auto"/>
          <w:sz w:val="24"/>
          <w:szCs w:val="24"/>
          <w:lang w:val="en-US" w:eastAsia="zh-CN"/>
        </w:rPr>
        <w:t>和氨氮的外排量为零。本项目为天然气输送项目，在项目正常运行过程中，项目不对外排放废气，因此，项目 SO</w:t>
      </w:r>
      <w:r>
        <w:rPr>
          <w:rFonts w:hint="default" w:ascii="Times New Roman" w:hAnsi="Times New Roman" w:eastAsia="宋体" w:cs="Times New Roman"/>
          <w:color w:val="auto"/>
          <w:sz w:val="24"/>
          <w:szCs w:val="24"/>
          <w:vertAlign w:val="subscript"/>
          <w:lang w:val="en-US" w:eastAsia="zh-CN"/>
        </w:rPr>
        <w:t xml:space="preserve">2 </w:t>
      </w:r>
      <w:r>
        <w:rPr>
          <w:rFonts w:hint="default" w:ascii="Times New Roman" w:hAnsi="Times New Roman" w:eastAsia="宋体" w:cs="Times New Roman"/>
          <w:color w:val="auto"/>
          <w:sz w:val="24"/>
          <w:szCs w:val="24"/>
          <w:lang w:val="en-US" w:eastAsia="zh-CN"/>
        </w:rPr>
        <w:t>和 NO</w:t>
      </w:r>
      <w:r>
        <w:rPr>
          <w:rFonts w:hint="default" w:ascii="Times New Roman" w:hAnsi="Times New Roman" w:eastAsia="宋体" w:cs="Times New Roman"/>
          <w:color w:val="auto"/>
          <w:sz w:val="24"/>
          <w:szCs w:val="24"/>
          <w:vertAlign w:val="subscript"/>
          <w:lang w:val="en-US" w:eastAsia="zh-CN"/>
        </w:rPr>
        <w:t>x</w:t>
      </w:r>
      <w:r>
        <w:rPr>
          <w:rFonts w:hint="default" w:ascii="Times New Roman" w:hAnsi="Times New Roman" w:eastAsia="宋体" w:cs="Times New Roman"/>
          <w:color w:val="auto"/>
          <w:sz w:val="24"/>
          <w:szCs w:val="24"/>
          <w:lang w:val="en-US" w:eastAsia="zh-CN"/>
        </w:rPr>
        <w:t>外排量为零。固体废物主要为各站场的生活垃圾、清管粉末、分离器检修粉末等，均定期填埋处置或送当地环卫部门处理，不外排。因此本工程固体废物外排量为零。因此，本项目不设置总量控制指标。</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kern w:val="0"/>
          <w:sz w:val="28"/>
          <w:szCs w:val="28"/>
          <w:lang w:val="en-US" w:eastAsia="zh-CN" w:bidi="ar"/>
        </w:rPr>
        <w:t>3.5清洁生产</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本工程输送介质—天然气，天然气是清洁能源，作为能源使用所产生的温室气体 CO</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 xml:space="preserve">的排放量比煤炭、原油、燃料油等少很多，对环境所产生的影响也相对较小，因而采用管道输送天然气，可以达到从源头上减轻环境污染的作用，符合国家节能减排的要求。 </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输气管道运输的能耗和成本远小于铁路、公路运输，且不受地形、气候、运力紧张、季节的影响；损耗和成本、输送产品的质量也更有保证，同样符合国家清洁生产的相关要求。 </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作为清洁燃料，天然气广泛用于民用燃料、工业燃料和发电。与煤相比，天然气不含灰份，其燃烧后产生的 NO</w:t>
      </w:r>
      <w:r>
        <w:rPr>
          <w:rFonts w:hint="default" w:ascii="Times New Roman" w:hAnsi="Times New Roman" w:eastAsia="宋体" w:cs="Times New Roman"/>
          <w:color w:val="auto"/>
          <w:sz w:val="24"/>
          <w:szCs w:val="24"/>
          <w:vertAlign w:val="subscript"/>
          <w:lang w:val="en-US" w:eastAsia="zh-CN"/>
        </w:rPr>
        <w:t>x</w:t>
      </w:r>
      <w:r>
        <w:rPr>
          <w:rFonts w:hint="default" w:ascii="Times New Roman" w:hAnsi="Times New Roman" w:eastAsia="宋体" w:cs="Times New Roman"/>
          <w:color w:val="auto"/>
          <w:sz w:val="24"/>
          <w:szCs w:val="24"/>
          <w:lang w:val="en-US" w:eastAsia="zh-CN"/>
        </w:rPr>
        <w:t xml:space="preserve"> 仅为煤的 19.2%，产生的 CO</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 xml:space="preserve"> 仅为煤的 42.1%，极大地降低了对环境空气的污染。本工程管道外防腐层选用环氧粉末聚乙烯复合结构(三层 PE)，满足清洁生产的要求。 </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在输送工艺方面，优化工艺方案，减小能源消耗；设置截断阀，减少输气管道的天然气损失；采用节能设施，减少能耗；采用合理的防腐方式，保证管道运输的安全性；采用管道完整性管理，提高整体运营水平。 </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在生产设备和设施方面，使用世界上较为先进的 SCADA 自动控制系统，使输送介质的工艺条件实现由计算机自动控制，减少了由于人工控制而产生的生产损耗，可最大限度地减少由于事故引发的环境污染事故，减少事故停运及天然气损失，提高生产技术水平、操作效率和经济效率。 </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在施工期，采取加强施工管理，规范施工过程，实施环境监理；确定合理的施工带宽度，减少临时占地对环境的破坏；采用先进、合理的施工方式，减少对环境的污染和破坏；采取必要措施减少施工期扬尘对沿线居民的影响；减少施工营地建设，减少污染物排放；作好生态恢复，水土保持等工作。在运营期，做好废气、废水、固废的达标排放工作，尽可能选择低噪声设备，满足清洁生产的要求。 </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 </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建议泵车在落实清洁生产时除在设计、施工、运营环节中通过实施一系列清洁生产技术措施实现外，在运营管理中也将通过采取一系列的相关措施和制度，实现持续的清洁生产。具体从以下几个方面进行改进： </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1) 建立健全清洁生产管理机构； </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2) 从源头抓起，注意工艺流程的各个环节； </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3) 提高管理水平，加强环保知识宣传与培训； </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4) 加强与外部的联系。 </w:t>
      </w:r>
    </w:p>
    <w:p>
      <w:pP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szCs w:val="24"/>
          <w:lang w:val="en-US" w:eastAsia="zh-CN"/>
        </w:rPr>
        <w:br w:type="page"/>
      </w:r>
    </w:p>
    <w:p>
      <w:pPr>
        <w:pStyle w:val="4"/>
        <w:numPr>
          <w:ilvl w:val="0"/>
          <w:numId w:val="0"/>
        </w:numPr>
        <w:bidi w:val="0"/>
        <w:jc w:val="both"/>
        <w:rPr>
          <w:rFonts w:hint="default" w:ascii="Times New Roman" w:hAnsi="Times New Roman" w:eastAsia="宋体" w:cs="Times New Roman"/>
          <w:color w:val="auto"/>
          <w:lang w:val="en-US" w:eastAsia="zh-CN"/>
        </w:rPr>
      </w:pPr>
    </w:p>
    <w:p>
      <w:pPr>
        <w:pStyle w:val="4"/>
        <w:numPr>
          <w:ilvl w:val="0"/>
          <w:numId w:val="0"/>
        </w:numPr>
        <w:bidi w:val="0"/>
        <w:jc w:val="center"/>
        <w:rPr>
          <w:rFonts w:hint="default" w:ascii="Times New Roman" w:hAnsi="Times New Roman" w:eastAsia="宋体" w:cs="Times New Roman"/>
          <w:color w:val="auto"/>
          <w:lang w:val="en-US" w:eastAsia="zh-CN"/>
        </w:rPr>
      </w:pPr>
      <w:bookmarkStart w:id="39" w:name="_Toc24318"/>
      <w:r>
        <w:rPr>
          <w:rFonts w:hint="default" w:ascii="Times New Roman" w:hAnsi="Times New Roman" w:eastAsia="宋体" w:cs="Times New Roman"/>
          <w:color w:val="auto"/>
          <w:lang w:val="en-US" w:eastAsia="zh-CN"/>
        </w:rPr>
        <w:t>第四章 环境现状调查与评价</w:t>
      </w:r>
      <w:bookmarkEnd w:id="39"/>
    </w:p>
    <w:p>
      <w:pPr>
        <w:pStyle w:val="5"/>
        <w:bidi w:val="0"/>
        <w:rPr>
          <w:rFonts w:hint="default" w:ascii="Times New Roman" w:hAnsi="Times New Roman" w:eastAsia="宋体" w:cs="Times New Roman"/>
          <w:color w:val="auto"/>
          <w:lang w:val="en-US" w:eastAsia="zh-CN"/>
        </w:rPr>
      </w:pPr>
      <w:bookmarkStart w:id="40" w:name="_Toc10218"/>
      <w:r>
        <w:rPr>
          <w:rFonts w:hint="default" w:ascii="Times New Roman" w:hAnsi="Times New Roman" w:eastAsia="宋体" w:cs="Times New Roman"/>
          <w:color w:val="auto"/>
          <w:lang w:val="en-US" w:eastAsia="zh-CN"/>
        </w:rPr>
        <w:t>4.1自然环境概况</w:t>
      </w:r>
      <w:bookmarkEnd w:id="40"/>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4.1.1地理位置</w:t>
      </w:r>
    </w:p>
    <w:p>
      <w:pPr>
        <w:pStyle w:val="23"/>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本项目井场及地面集输工程建设占地位于四川省广元市苍溪县。苍溪县，位于四川盆地北缘山区，巴山东障，剑门西横，古称秦陇锁钥，蜀北屏藩。地跨北纬 31°37′~32°10′，东经105°43′~106°28′。苍溪县南北宽 61.1公里，东西长70.5公里，幅员面积 2330 平方公里。东与巴中市巴州区、南江县接壤，西与剑阁县相邻，北与广元市昭化区、旺苍县交界，南与阆中市相连。 </w:t>
      </w:r>
    </w:p>
    <w:p>
      <w:pPr>
        <w:pStyle w:val="23"/>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本项目所在地理位置见附图 1。 </w:t>
      </w:r>
    </w:p>
    <w:p>
      <w:pPr>
        <w:pStyle w:val="23"/>
        <w:rPr>
          <w:rStyle w:val="54"/>
          <w:rFonts w:hint="default" w:ascii="Times New Roman" w:hAnsi="Times New Roman" w:eastAsia="宋体" w:cs="Times New Roman"/>
          <w:color w:val="auto"/>
          <w:lang w:val="en-US" w:eastAsia="zh-CN"/>
        </w:rPr>
      </w:pPr>
      <w:r>
        <w:rPr>
          <w:rStyle w:val="54"/>
          <w:rFonts w:hint="default" w:ascii="Times New Roman" w:hAnsi="Times New Roman" w:eastAsia="宋体" w:cs="Times New Roman"/>
          <w:color w:val="auto"/>
          <w:lang w:val="en-US" w:eastAsia="zh-CN"/>
        </w:rPr>
        <w:t>4.1.2地形、地貌、地质</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苍溪县位于四川盆地北缘，长江上游嘉陵江中段，居大巴山南麓。苍溪县域受米仓山、大巴山构造控制，地势由东北向西南倾斜，境内地势东北高，西南低。1000 米以上之黑猫梁、九龙山、龙干山等高山雄踞北部及东北部，低、中山脉逶迤绵亘，九龙山主峰海拔 1377 米为最高峰，回水、石门、歧坪一线以南为低山深丘区，山丘多呈桌状及台阶状，沿江可见冲积层阶地。最低八庙镇涧溪口海拔353 米。境内江河纵横，切割剧烈，地形复杂，岭陡谷深，平坝、台地、丘陵、低山、低中山及山塬地貌皆有，以低山为主。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低中山区：黄猫、漓江、三川、五龙一线以北，受九龙山、龙亭山、龙干山背斜构造影响，形成山峦重叠深谷交错、相对高度 200 米以上、海拔高度1000~1377.5 米的低中山区，尤以东溪、三川两区山势较高。低中山区面积 8. 73 万亩。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低山区：回水、石门、歧坪一线以北至黄猫、漓江、三川、五龙一线以南区域，多呈平台、长梁状低山似树枝或羽毛状展布，形成向西南倾斜的单面山。西部长宁山最高，主峰海拨 868 米。东部以琳琅山最高，主峰海拔 946.4 米。此区相对高度多在 200 米以上，海拔 559~l000 米间，山脉起伏，坡较陡而沟较深。低山区面积 257.66 万亩。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山塬区：山塬主要分布于低山、低中山山脊和相邻山脉结合部，地势倾斜，坡度一般在 10 度以下，海拔多在 700~1000 米间，土层较厚。山塬面积 53. 31 万亩。</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深丘区：回水、石门、歧坪一线以南及西南部广大区域，相对高度 100~200 米，海拔高度小于 527 米，多为水平岩地层组成，砂岩盖顶，丘体呈阶梯状，丘顶大多平坦，丘坡一般 15~25 度，部分大于 25 度。深丘区面积 8.86 万亩。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台地区：台地多分布于嘉陵江、东河沿岸，多为高阶台地、洪积台地，台坎高度在 20~200 米间。高阶台地台面坡度较平缓，一般小于 7 度。洪积台地台面坡度较倾斜，台面后缘坡度稍陡，最大 10 度左右。台地区面积 8. 57 万亩。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平坝区：多分布在县境南部嘉陵江、东河沿岸一、二级阶地和丘陵之间，由第四系全新统的冲积、洪积作用形成。平坝区面积 11.84 万亩。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苍溪县在大地构造上属扬子准地台之四川中台坳，从地质力学观点看，苍溪县属我国东部巨型新华夏系第三沉降带四川盆地的川西褶带和川中褶带。以苍溪向斜为界，其西北为川西褶带，其东北南为川中褶带。总的来看，构造较为简单，由宽缓的褶皱——背斜和向斜构成，以北东和北东东向为主。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本项目位于苍溪县元坝镇、云峰镇和陵江镇等，所在区域以低山、丘陵地貌为主，局部为河谷地貌（东河），一般海拔高程350～650m，一般相对高差100～250m，地形起伏较大，坡度较陡，部分地段脊部宽缓。</w:t>
      </w:r>
    </w:p>
    <w:tbl>
      <w:tblPr>
        <w:tblStyle w:val="25"/>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1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75" w:hRule="atLeast"/>
        </w:trPr>
        <w:tc>
          <w:tcPr>
            <w:tcW w:w="5000" w:type="pct"/>
            <w:tcBorders>
              <w:tl2br w:val="nil"/>
              <w:tr2bl w:val="nil"/>
            </w:tcBorders>
          </w:tcPr>
          <w:p>
            <w:pPr>
              <w:pStyle w:val="2"/>
              <w:jc w:val="center"/>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b/>
                <w:bCs/>
                <w:color w:val="auto"/>
              </w:rPr>
              <w:drawing>
                <wp:anchor distT="0" distB="0" distL="114300" distR="114300" simplePos="0" relativeHeight="251674624" behindDoc="0" locked="0" layoutInCell="1" allowOverlap="1">
                  <wp:simplePos x="0" y="0"/>
                  <wp:positionH relativeFrom="column">
                    <wp:posOffset>1221105</wp:posOffset>
                  </wp:positionH>
                  <wp:positionV relativeFrom="paragraph">
                    <wp:posOffset>-5526405</wp:posOffset>
                  </wp:positionV>
                  <wp:extent cx="4265295" cy="2397760"/>
                  <wp:effectExtent l="0" t="0" r="1905" b="2540"/>
                  <wp:wrapTopAndBottom/>
                  <wp:docPr id="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pic:cNvPicPr>
                            <a:picLocks noChangeAspect="1"/>
                          </pic:cNvPicPr>
                        </pic:nvPicPr>
                        <pic:blipFill>
                          <a:blip r:embed="rId30"/>
                          <a:srcRect l="16110" t="25427" r="29876" b="20603"/>
                          <a:stretch>
                            <a:fillRect/>
                          </a:stretch>
                        </pic:blipFill>
                        <pic:spPr>
                          <a:xfrm>
                            <a:off x="0" y="0"/>
                            <a:ext cx="4265295" cy="2397760"/>
                          </a:xfrm>
                          <a:prstGeom prst="rect">
                            <a:avLst/>
                          </a:prstGeom>
                          <a:noFill/>
                          <a:ln>
                            <a:noFill/>
                          </a:ln>
                        </pic:spPr>
                      </pic:pic>
                    </a:graphicData>
                  </a:graphic>
                </wp:anchor>
              </w:drawing>
            </w:r>
            <w:r>
              <w:rPr>
                <w:rFonts w:hint="default" w:ascii="Times New Roman" w:hAnsi="Times New Roman" w:eastAsia="宋体" w:cs="Times New Roman"/>
                <w:b/>
                <w:bCs/>
                <w:color w:val="auto"/>
                <w:vertAlign w:val="baseline"/>
                <w:lang w:val="en-US" w:eastAsia="zh-CN"/>
              </w:rPr>
              <w:t>图4.1-1工程地质图</w:t>
            </w:r>
          </w:p>
        </w:tc>
      </w:tr>
    </w:tbl>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本项目所在区域分布有第四系全新统人工填土（Q</w:t>
      </w:r>
      <w:r>
        <w:rPr>
          <w:rFonts w:hint="default" w:ascii="Times New Roman" w:hAnsi="Times New Roman" w:eastAsia="宋体" w:cs="Times New Roman"/>
          <w:color w:val="auto"/>
          <w:vertAlign w:val="subscript"/>
          <w:lang w:val="en-US" w:eastAsia="zh-CN"/>
        </w:rPr>
        <w:t>4</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vertAlign w:val="superscript"/>
          <w:lang w:val="en-US" w:eastAsia="zh-CN"/>
        </w:rPr>
        <w:t>ml</w:t>
      </w:r>
      <w:r>
        <w:rPr>
          <w:rFonts w:hint="default" w:ascii="Times New Roman" w:hAnsi="Times New Roman" w:eastAsia="宋体" w:cs="Times New Roman"/>
          <w:color w:val="auto"/>
          <w:lang w:val="en-US" w:eastAsia="zh-CN"/>
        </w:rPr>
        <w:t>）、冲洪积（Q</w:t>
      </w:r>
      <w:r>
        <w:rPr>
          <w:rFonts w:hint="default" w:ascii="Times New Roman" w:hAnsi="Times New Roman" w:eastAsia="宋体" w:cs="Times New Roman"/>
          <w:color w:val="auto"/>
          <w:vertAlign w:val="subscript"/>
          <w:lang w:val="en-US" w:eastAsia="zh-CN"/>
        </w:rPr>
        <w:t>4</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vertAlign w:val="superscript"/>
          <w:lang w:val="en-US" w:eastAsia="zh-CN"/>
        </w:rPr>
        <w:t>al+pl</w:t>
      </w:r>
      <w:r>
        <w:rPr>
          <w:rFonts w:hint="default" w:ascii="Times New Roman" w:hAnsi="Times New Roman" w:eastAsia="宋体" w:cs="Times New Roman"/>
          <w:color w:val="auto"/>
          <w:lang w:val="en-US" w:eastAsia="zh-CN"/>
        </w:rPr>
        <w:t>）粉质粘土、卵石；坡洪积（Q</w:t>
      </w:r>
      <w:r>
        <w:rPr>
          <w:rFonts w:hint="default" w:ascii="Times New Roman" w:hAnsi="Times New Roman" w:eastAsia="宋体" w:cs="Times New Roman"/>
          <w:color w:val="auto"/>
          <w:vertAlign w:val="subscript"/>
          <w:lang w:val="en-US" w:eastAsia="zh-CN"/>
        </w:rPr>
        <w:t>4</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vertAlign w:val="superscript"/>
          <w:lang w:val="en-US" w:eastAsia="zh-CN"/>
        </w:rPr>
        <w:t>dl+pl</w:t>
      </w:r>
      <w:r>
        <w:rPr>
          <w:rFonts w:hint="default" w:ascii="Times New Roman" w:hAnsi="Times New Roman" w:eastAsia="宋体" w:cs="Times New Roman"/>
          <w:color w:val="auto"/>
          <w:lang w:val="en-US" w:eastAsia="zh-CN"/>
        </w:rPr>
        <w:t>）粉质粘土、含卵石、砾石粉质粘土；坡残积（Q</w:t>
      </w:r>
      <w:r>
        <w:rPr>
          <w:rFonts w:hint="default" w:ascii="Times New Roman" w:hAnsi="Times New Roman" w:eastAsia="宋体" w:cs="Times New Roman"/>
          <w:color w:val="auto"/>
          <w:vertAlign w:val="subscript"/>
          <w:lang w:val="en-US" w:eastAsia="zh-CN"/>
        </w:rPr>
        <w:t>4</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vertAlign w:val="superscript"/>
          <w:lang w:val="en-US" w:eastAsia="zh-CN"/>
        </w:rPr>
        <w:t>dl+el</w:t>
      </w:r>
      <w:r>
        <w:rPr>
          <w:rFonts w:hint="default" w:ascii="Times New Roman" w:hAnsi="Times New Roman" w:eastAsia="宋体" w:cs="Times New Roman"/>
          <w:color w:val="auto"/>
          <w:lang w:val="en-US" w:eastAsia="zh-CN"/>
        </w:rPr>
        <w:t>）粉质粘土、含碎石、砾石粉质粘土；基岩地层主要为白垩系下统白龙组（K</w:t>
      </w:r>
      <w:r>
        <w:rPr>
          <w:rFonts w:hint="default" w:ascii="Times New Roman" w:hAnsi="Times New Roman" w:eastAsia="宋体" w:cs="Times New Roman"/>
          <w:color w:val="auto"/>
          <w:vertAlign w:val="subscript"/>
          <w:lang w:val="en-US" w:eastAsia="zh-CN"/>
        </w:rPr>
        <w:t>1b</w:t>
      </w:r>
      <w:r>
        <w:rPr>
          <w:rFonts w:hint="default" w:ascii="Times New Roman" w:hAnsi="Times New Roman" w:eastAsia="宋体" w:cs="Times New Roman"/>
          <w:color w:val="auto"/>
          <w:lang w:val="en-US" w:eastAsia="zh-CN"/>
        </w:rPr>
        <w:t>）和苍溪组（K</w:t>
      </w:r>
      <w:r>
        <w:rPr>
          <w:rFonts w:hint="default" w:ascii="Times New Roman" w:hAnsi="Times New Roman" w:eastAsia="宋体" w:cs="Times New Roman"/>
          <w:color w:val="auto"/>
          <w:vertAlign w:val="subscript"/>
          <w:lang w:val="en-US" w:eastAsia="zh-CN"/>
        </w:rPr>
        <w:t>1c</w:t>
      </w:r>
      <w:r>
        <w:rPr>
          <w:rFonts w:hint="default" w:ascii="Times New Roman" w:hAnsi="Times New Roman" w:eastAsia="宋体" w:cs="Times New Roman"/>
          <w:color w:val="auto"/>
          <w:lang w:val="en-US" w:eastAsia="zh-CN"/>
        </w:rPr>
        <w:t xml:space="preserve">）砂岩、粉砂岩、泥岩等。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 第四系全新统(Q</w:t>
      </w:r>
      <w:r>
        <w:rPr>
          <w:rFonts w:hint="default" w:ascii="Times New Roman" w:hAnsi="Times New Roman" w:eastAsia="宋体" w:cs="Times New Roman"/>
          <w:color w:val="auto"/>
          <w:vertAlign w:val="subscript"/>
          <w:lang w:val="en-US" w:eastAsia="zh-CN"/>
        </w:rPr>
        <w:t>h</w:t>
      </w:r>
      <w:r>
        <w:rPr>
          <w:rFonts w:hint="default" w:ascii="Times New Roman" w:hAnsi="Times New Roman" w:eastAsia="宋体" w:cs="Times New Roman"/>
          <w:color w:val="auto"/>
          <w:lang w:val="en-US" w:eastAsia="zh-CN"/>
        </w:rPr>
        <w:t xml:space="preserve">)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1）人工填土（Q</w:t>
      </w:r>
      <w:r>
        <w:rPr>
          <w:rFonts w:hint="default" w:ascii="Times New Roman" w:hAnsi="Times New Roman" w:eastAsia="宋体" w:cs="Times New Roman"/>
          <w:color w:val="auto"/>
          <w:vertAlign w:val="subscript"/>
          <w:lang w:val="en-US" w:eastAsia="zh-CN"/>
        </w:rPr>
        <w:t>h</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vertAlign w:val="superscript"/>
          <w:lang w:val="en-US" w:eastAsia="zh-CN"/>
        </w:rPr>
        <w:t>ml</w:t>
      </w:r>
      <w:r>
        <w:rPr>
          <w:rFonts w:hint="default" w:ascii="Times New Roman" w:hAnsi="Times New Roman" w:eastAsia="宋体" w:cs="Times New Roman"/>
          <w:color w:val="auto"/>
          <w:lang w:val="en-US" w:eastAsia="zh-CN"/>
        </w:rPr>
        <w:t xml:space="preserve">）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由粉质粘土或碎石构成，结构松散，厚度一般 0.5～2.5m 不等，主要分布于房屋、公路、堤坝等地段。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2）冲洪积层（Q</w:t>
      </w:r>
      <w:r>
        <w:rPr>
          <w:rFonts w:hint="default" w:ascii="Times New Roman" w:hAnsi="Times New Roman" w:eastAsia="宋体" w:cs="Times New Roman"/>
          <w:color w:val="auto"/>
          <w:vertAlign w:val="subscript"/>
          <w:lang w:val="en-US" w:eastAsia="zh-CN"/>
        </w:rPr>
        <w:t>h</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vertAlign w:val="superscript"/>
          <w:lang w:val="en-US" w:eastAsia="zh-CN"/>
        </w:rPr>
        <w:t>al+pl</w:t>
      </w:r>
      <w:r>
        <w:rPr>
          <w:rFonts w:hint="default" w:ascii="Times New Roman" w:hAnsi="Times New Roman" w:eastAsia="宋体" w:cs="Times New Roman"/>
          <w:color w:val="auto"/>
          <w:lang w:val="en-US" w:eastAsia="zh-CN"/>
        </w:rPr>
        <w:t xml:space="preserve">）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由粉质粘土、卵石等堆积而成，厚度变化较大，一般厚度范围 0.5m～4.0m 不等，主要分布于河床、冲沟及其岸坡等地段。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3）坡洪积层（Q</w:t>
      </w:r>
      <w:r>
        <w:rPr>
          <w:rFonts w:hint="default" w:ascii="Times New Roman" w:hAnsi="Times New Roman" w:eastAsia="宋体" w:cs="Times New Roman"/>
          <w:color w:val="auto"/>
          <w:vertAlign w:val="subscript"/>
          <w:lang w:val="en-US" w:eastAsia="zh-CN"/>
        </w:rPr>
        <w:t>h</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vertAlign w:val="superscript"/>
          <w:lang w:val="en-US" w:eastAsia="zh-CN"/>
        </w:rPr>
        <w:t>dl+pl</w:t>
      </w:r>
      <w:r>
        <w:rPr>
          <w:rFonts w:hint="default" w:ascii="Times New Roman" w:hAnsi="Times New Roman" w:eastAsia="宋体" w:cs="Times New Roman"/>
          <w:color w:val="auto"/>
          <w:lang w:val="en-US" w:eastAsia="zh-CN"/>
        </w:rPr>
        <w:t>）</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主要由粉质粘土构成，棕黄色、褐黄色，可塑～硬塑，稍有光泽，摇震反应无，韧性 与干强度中等，局部地段含卵石、砾石，该层厚度一般 2.0～3.0m，局部大于 3.0m。主要分布于山（丘）间谷地和坡间凹地。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4）坡残积层（Q</w:t>
      </w:r>
      <w:r>
        <w:rPr>
          <w:rFonts w:hint="default" w:ascii="Times New Roman" w:hAnsi="Times New Roman" w:eastAsia="宋体" w:cs="Times New Roman"/>
          <w:color w:val="auto"/>
          <w:vertAlign w:val="subscript"/>
          <w:lang w:val="en-US" w:eastAsia="zh-CN"/>
        </w:rPr>
        <w:t>h</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vertAlign w:val="superscript"/>
          <w:lang w:val="en-US" w:eastAsia="zh-CN"/>
        </w:rPr>
        <w:t>dl+el</w:t>
      </w:r>
      <w:r>
        <w:rPr>
          <w:rFonts w:hint="default" w:ascii="Times New Roman" w:hAnsi="Times New Roman" w:eastAsia="宋体" w:cs="Times New Roman"/>
          <w:color w:val="auto"/>
          <w:lang w:val="en-US" w:eastAsia="zh-CN"/>
        </w:rPr>
        <w:t xml:space="preserve">）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由粉质粘土构成，含风化岩屑、砾石和少量碎石，可塑～硬塑，稍有光泽，摇震反应无，韧性与干强度中等～高，厚度一般 0.2～2.5m，局部大于 2.5m。主要分布于坡顶和斜坡地带。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2 白垩系下统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1)白龙组（K</w:t>
      </w:r>
      <w:r>
        <w:rPr>
          <w:rFonts w:hint="default" w:ascii="Times New Roman" w:hAnsi="Times New Roman" w:eastAsia="宋体" w:cs="Times New Roman"/>
          <w:color w:val="auto"/>
          <w:vertAlign w:val="subscript"/>
          <w:lang w:val="en-US" w:eastAsia="zh-CN"/>
        </w:rPr>
        <w:t>1c</w:t>
      </w:r>
      <w:r>
        <w:rPr>
          <w:rFonts w:hint="default" w:ascii="Times New Roman" w:hAnsi="Times New Roman" w:eastAsia="宋体" w:cs="Times New Roman"/>
          <w:color w:val="auto"/>
          <w:lang w:val="en-US" w:eastAsia="zh-CN"/>
        </w:rPr>
        <w:t xml:space="preserve">）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该组岩性为灰～浅灰色块状中细粒长石砂岩与紫红色钙泥质粉砂岩、钙质泥岩互层岩体较为完整，局部差异风化较严重。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2)苍溪组（K</w:t>
      </w:r>
      <w:r>
        <w:rPr>
          <w:rFonts w:hint="default" w:ascii="Times New Roman" w:hAnsi="Times New Roman" w:eastAsia="宋体" w:cs="Times New Roman"/>
          <w:color w:val="auto"/>
          <w:vertAlign w:val="subscript"/>
          <w:lang w:val="en-US" w:eastAsia="zh-CN"/>
        </w:rPr>
        <w:t>1c</w:t>
      </w:r>
      <w:r>
        <w:rPr>
          <w:rFonts w:hint="default" w:ascii="Times New Roman" w:hAnsi="Times New Roman" w:eastAsia="宋体" w:cs="Times New Roman"/>
          <w:color w:val="auto"/>
          <w:lang w:val="en-US" w:eastAsia="zh-CN"/>
        </w:rPr>
        <w:t xml:space="preserve">）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该组岩性为浅黄、灰紫、灰白色厚层、块状细至中粒长石砂岩、岩屑长石砂岩，夹薄层砖红、棕红色泥岩等，在本段低山丘陵地貌区局部分布。</w:t>
      </w:r>
    </w:p>
    <w:p>
      <w:pPr>
        <w:pStyle w:val="23"/>
        <w:rPr>
          <w:rStyle w:val="54"/>
          <w:rFonts w:hint="default" w:ascii="Times New Roman" w:hAnsi="Times New Roman" w:eastAsia="宋体" w:cs="Times New Roman"/>
          <w:color w:val="auto"/>
          <w:lang w:val="en-US" w:eastAsia="zh-CN"/>
        </w:rPr>
      </w:pPr>
      <w:r>
        <w:rPr>
          <w:rStyle w:val="54"/>
          <w:rFonts w:hint="default" w:ascii="Times New Roman" w:hAnsi="Times New Roman" w:eastAsia="宋体" w:cs="Times New Roman"/>
          <w:color w:val="auto"/>
          <w:lang w:val="en-US" w:eastAsia="zh-CN"/>
        </w:rPr>
        <w:t>4.1.3气象气候</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苍溪县属亚热带湿润季风气候区，热量丰富、雨水充沛、无霜期长、气候温和，四季分明，冬长夏短，春长于秋，有“高山寒未尽，谷底春意浓”的气候特征。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日照：苍溪县境日照尚足，累年年平均日照时数为 1490.9 小时，最多 1822.3 小时（1978 年），最少 1154.2 小时(1989 年)。月日照 8 月最多，达 209.3 小时；2 月最少，仅 72.6 小时。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温度：苍溪县境气候温和，累年年平均气温 16.7℃，最高年份为 17.4℃；最低年份仅 15. 9℃。累年各旬平均气温最高为 8 月上旬 27.8℃；最低为 1 月上旬5.9℃。累年候平均气温最高 28.2℃，出现在第 43 候，即 8 月 l~5 日；最低 5.3℃，出现在第 1 候，即 1 月 1~5 日。累年极端最高气温 39.3℃，出现在 1959 年 7 月14 日；最低－4.6℃，出现在 1975 年 12 月 15 日。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地温：苍溪县累年各月不同深度土层平均地温均在 5.0℃以上，8 月最高，1月最低。累年各月地表极端最高温度 67.9℃，出现在 1962 年 7 月 14 日；最低~8.9℃，出现在 1963 年 1 月 14 日。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降雨：苍溪县境累年年均降雨量，北部山区在 1100~1300 毫米之间，东部低山区多在 900~1200 毫米之间，西南部深丘地区多在 800~1100 毫米之间。县气象站多年平均降雨量 1046.7 毫米，最多为 1605.1 毫米，出现在 1981 年；最少为703.4 毫米，出现在 1986 年。季降雨多集中在夏季，大部分区域平均降雨量在 460~600 毫米之间，占全年总降雨量 46~50%；秋季次之，为 280~350 毫米之间，占全年总降雨量26~32%；春季降雨量为213.5 毫米左右，约占全年总降雨量20%；冬季最少，平均降雨量 35.4 毫米，仅占全年总降雨量 3%。全年各月降雨分配不均，最多是 7 月，为 214.3 毫米；9 月次之，为 185.5 毫米；最少是 12 月，为 9.8 毫米。日降雨量在 50.0 毫米以上之暴雨多出现在 4~10 月；100.0 毫米以上之大暴雨多出现在 5~9 月。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湿度：苍溪县累年各月平均相对湿度在 67~79%之间，年平均相对湿度 73%。极端最小相对湿度 7%，出现在 1983 年 3 月 16 日；最大相对湿度出现在 9 月和10 月，分别达 80%和 79%；最小相对湿度出现在 3 月和 4 月，均达 68%。 </w:t>
      </w:r>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4.1.4水文特征</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1、地表水</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苍溪县水资源丰富，江河纵横。全县有嘉陵江和东河两大主要河流，插江、深沟河等 12 条较大支流“九曲回肠”结成河网以及 180 多条涓涓细流呈树枝状分布全县的溪沟，共长 648km。绝大部分河流属嘉陵江干流及其支流东河水系，仅县境东河、毛溪河等属嘉陵江另一支流渠江水系。县境内嘉陵江干流流域面积619 平方公里，长约 103 公里。东河水系流域面积 954.4 平方公里，插江水系流域面积 392.4 平方公里，渠江水系流域面积 395.6 平方公里。江河过境水流总量达 228. 96 亿立方米。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嘉陵江从剑阁县鸯溪乡流入苍溪县鸳溪乡水晶坪,蜿蜒流经亭子、浙水、马桑、回水、庙垭，绕县城纳九曲淏后折向南，流经镇水、五里、寨山、八庙乡。于润溪口流入阆中县境。县内长 103 公里，平均比降 0.52-0.58%，为流经县境第一大河。县境河段河床由砾石、砂岩和页岩组成，大部由卵石沉积，基部砂岩层较厚，江水随纵横山势流转，急湾上下段险滩与深沱相接。枯水河宽 80~120 米，洪水河宽 250~ 400 米。多年平均流量 2120 立方米/秒，过境洪峰最大流量 19800立方米/秒，最小流量 112 立方米/秒。据亭子口水文站资料，江水多年平均含沙量 3.04 公斤/立方米，多年平均输沙量 1.57 亿吨，年侵蚀模数 1200 吨/平方公里。嘉陵江苍溪段，枯水期江水清澈如镜。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东河又名宋江，从旺苍县张华乡流入苍溪县桥淏乡喻家嘴。迂回流经东溪、田菜、石灶、土鲤、岳东、文林、漓江、登高、歧坪、南阳、唤马、张王、石门、元坝、金璧、中土等乡,纵贯县境腹部，至王渡乡周家河流入阆中县境文成乡于滥泥沟注入嘉陵江。县内长 189.5 公里，为流经县境第二大河。县境河段河曲发育，漕道日浅，河漫滩多.为单皱河谷。河底由粗沙和卵石组成，两岸台地分布颇广。喻家嘴至东溪河床平均比降 1.21%。枯水期河水面宽 40~50 米；东溪至元坝河床平均比降 0.7%，插江至元坝河谷呈“V"形。横断面呈阶梯状，枯水期河水面宽50~100 米；元坝至王渡河床平均比降 0.49%，两岸山势开阔，枯水期河水面宽80~150 米。东河苍溪段水量丰富，多年平均流量 104 立方米/秒，年最大流量 185 立方米/秒，年最小流量 26.6 立方米/秒。洪水期最大流速 6.5 米以上/秒,最大洪峰流量11100 立方米/秒。河水多年平均含沙量 0.73 公斤/立方米，多年平均输沙量 239 万吨，年侵蚀模数 522 吨/平方公里。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插江又名凿水，源头有两支，一为雍河，源出雍河乡甘家沟和鸡叫寨，流经雍河月儿坝纳月儿坝河，经龙王场至两河口；一名桥河，源出广元大南山南麓火把山韩家垭，流经卫子、清水，出广元昭化区界，流入苍溪县境两河乡至两河口与雍河合流，经三川、石门两乡，沿途纳文庙溪、北溪，于插江口注入东河，全长 68 公里，河床平均比降 0.7%。插江河谷狭窄，上游呈“U"形河谷，河段均为荒溪，落差较大；下游石门至插江口属静水河段。正常流量 0.6 立方米/秒，洪水期最大洪峰流量 4000 立方米/秒。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苍溪县境属大巴山暴雨影响区，多年平均地表径流量 10.33 亿立方米，年均径流深 437 毫米。本</w:t>
      </w:r>
      <w:r>
        <w:rPr>
          <w:rFonts w:hint="eastAsia" w:ascii="Times New Roman" w:hAnsi="Times New Roman" w:cs="Times New Roman"/>
          <w:color w:val="auto"/>
          <w:kern w:val="0"/>
          <w:sz w:val="24"/>
          <w:szCs w:val="24"/>
          <w:lang w:val="en-US" w:eastAsia="zh-CN" w:bidi="ar"/>
        </w:rPr>
        <w:t>项目</w:t>
      </w:r>
      <w:r>
        <w:rPr>
          <w:rFonts w:hint="default" w:ascii="Times New Roman" w:hAnsi="Times New Roman" w:eastAsia="宋体" w:cs="Times New Roman"/>
          <w:color w:val="auto"/>
          <w:kern w:val="0"/>
          <w:sz w:val="24"/>
          <w:szCs w:val="24"/>
          <w:lang w:val="en-US" w:eastAsia="zh-CN" w:bidi="ar"/>
        </w:rPr>
        <w:t>涉及的河流主要为东河，管线穿越处为东河二级水源保护区。</w:t>
      </w:r>
    </w:p>
    <w:p>
      <w:pPr>
        <w:pStyle w:val="6"/>
        <w:bidi w:val="0"/>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2、地下水</w:t>
      </w:r>
    </w:p>
    <w:p>
      <w:pPr>
        <w:keepNext w:val="0"/>
        <w:keepLines w:val="0"/>
        <w:widowControl/>
        <w:suppressLineNumbers w:val="0"/>
        <w:jc w:val="left"/>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苍溪县境内地下水丰富，径流模数为 0.5L/s·km</w:t>
      </w:r>
      <w:r>
        <w:rPr>
          <w:rFonts w:hint="default" w:ascii="Times New Roman" w:hAnsi="Times New Roman" w:eastAsia="宋体" w:cs="Times New Roman"/>
          <w:b w:val="0"/>
          <w:bCs w:val="0"/>
          <w:color w:val="auto"/>
          <w:kern w:val="0"/>
          <w:sz w:val="24"/>
          <w:szCs w:val="24"/>
          <w:vertAlign w:val="superscript"/>
          <w:lang w:val="en-US" w:eastAsia="zh-CN" w:bidi="ar"/>
        </w:rPr>
        <w:t>2</w:t>
      </w:r>
      <w:r>
        <w:rPr>
          <w:rFonts w:hint="default" w:ascii="Times New Roman" w:hAnsi="Times New Roman" w:eastAsia="宋体" w:cs="Times New Roman"/>
          <w:b w:val="0"/>
          <w:bCs w:val="0"/>
          <w:color w:val="auto"/>
          <w:kern w:val="0"/>
          <w:sz w:val="24"/>
          <w:szCs w:val="24"/>
          <w:lang w:val="en-US" w:eastAsia="zh-CN" w:bidi="ar"/>
        </w:rPr>
        <w:t>，储量 0.37~0.65 亿 m</w:t>
      </w:r>
      <w:r>
        <w:rPr>
          <w:rFonts w:hint="default" w:ascii="Times New Roman" w:hAnsi="Times New Roman" w:eastAsia="宋体" w:cs="Times New Roman"/>
          <w:b w:val="0"/>
          <w:bCs w:val="0"/>
          <w:color w:val="auto"/>
          <w:kern w:val="0"/>
          <w:sz w:val="24"/>
          <w:szCs w:val="24"/>
          <w:vertAlign w:val="superscript"/>
          <w:lang w:val="en-US" w:eastAsia="zh-CN" w:bidi="ar"/>
        </w:rPr>
        <w:t>3</w:t>
      </w:r>
      <w:r>
        <w:rPr>
          <w:rFonts w:hint="default" w:ascii="Times New Roman" w:hAnsi="Times New Roman" w:eastAsia="宋体" w:cs="Times New Roman"/>
          <w:b w:val="0"/>
          <w:bCs w:val="0"/>
          <w:color w:val="auto"/>
          <w:kern w:val="0"/>
          <w:sz w:val="24"/>
          <w:szCs w:val="24"/>
          <w:lang w:val="en-US" w:eastAsia="zh-CN" w:bidi="ar"/>
        </w:rPr>
        <w:t xml:space="preserve"> /a，东溪、三川两区为中等含水岩组，机井平均出水量为 300~100m</w:t>
      </w:r>
      <w:r>
        <w:rPr>
          <w:rFonts w:hint="default" w:ascii="Times New Roman" w:hAnsi="Times New Roman" w:eastAsia="宋体" w:cs="Times New Roman"/>
          <w:b w:val="0"/>
          <w:bCs w:val="0"/>
          <w:color w:val="auto"/>
          <w:kern w:val="0"/>
          <w:sz w:val="24"/>
          <w:szCs w:val="24"/>
          <w:vertAlign w:val="superscript"/>
          <w:lang w:val="en-US" w:eastAsia="zh-CN" w:bidi="ar"/>
        </w:rPr>
        <w:t>3</w:t>
      </w:r>
      <w:r>
        <w:rPr>
          <w:rFonts w:hint="default" w:ascii="Times New Roman" w:hAnsi="Times New Roman" w:eastAsia="宋体" w:cs="Times New Roman"/>
          <w:b w:val="0"/>
          <w:bCs w:val="0"/>
          <w:color w:val="auto"/>
          <w:kern w:val="0"/>
          <w:sz w:val="24"/>
          <w:szCs w:val="24"/>
          <w:lang w:val="en-US" w:eastAsia="zh-CN" w:bidi="ar"/>
        </w:rPr>
        <w:t xml:space="preserve"> /d，径流模数0.5L/s·km</w:t>
      </w:r>
      <w:r>
        <w:rPr>
          <w:rFonts w:hint="default" w:ascii="Times New Roman" w:hAnsi="Times New Roman" w:eastAsia="宋体" w:cs="Times New Roman"/>
          <w:b w:val="0"/>
          <w:bCs w:val="0"/>
          <w:color w:val="auto"/>
          <w:kern w:val="0"/>
          <w:sz w:val="24"/>
          <w:szCs w:val="24"/>
          <w:vertAlign w:val="superscript"/>
          <w:lang w:val="en-US" w:eastAsia="zh-CN" w:bidi="ar"/>
        </w:rPr>
        <w:t>2</w:t>
      </w:r>
      <w:r>
        <w:rPr>
          <w:rFonts w:hint="default" w:ascii="Times New Roman" w:hAnsi="Times New Roman" w:eastAsia="宋体" w:cs="Times New Roman"/>
          <w:b w:val="0"/>
          <w:bCs w:val="0"/>
          <w:color w:val="auto"/>
          <w:kern w:val="0"/>
          <w:sz w:val="24"/>
          <w:szCs w:val="24"/>
          <w:lang w:val="en-US" w:eastAsia="zh-CN" w:bidi="ar"/>
        </w:rPr>
        <w:t>，龙山、文昌、歧坪、五龙、东青、城郊是若含水岩组，出水量小于50m</w:t>
      </w:r>
      <w:r>
        <w:rPr>
          <w:rFonts w:hint="default" w:ascii="Times New Roman" w:hAnsi="Times New Roman" w:eastAsia="宋体" w:cs="Times New Roman"/>
          <w:b w:val="0"/>
          <w:bCs w:val="0"/>
          <w:color w:val="auto"/>
          <w:kern w:val="0"/>
          <w:sz w:val="24"/>
          <w:szCs w:val="24"/>
          <w:vertAlign w:val="superscript"/>
          <w:lang w:val="en-US" w:eastAsia="zh-CN" w:bidi="ar"/>
        </w:rPr>
        <w:t>3</w:t>
      </w:r>
      <w:r>
        <w:rPr>
          <w:rFonts w:hint="default" w:ascii="Times New Roman" w:hAnsi="Times New Roman" w:eastAsia="宋体" w:cs="Times New Roman"/>
          <w:b w:val="0"/>
          <w:bCs w:val="0"/>
          <w:color w:val="auto"/>
          <w:kern w:val="0"/>
          <w:sz w:val="24"/>
          <w:szCs w:val="24"/>
          <w:lang w:val="en-US" w:eastAsia="zh-CN" w:bidi="ar"/>
        </w:rPr>
        <w:t xml:space="preserve"> /d</w:t>
      </w:r>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4.1.5自然资源</w:t>
      </w:r>
    </w:p>
    <w:p>
      <w:pPr>
        <w:keepNext w:val="0"/>
        <w:keepLines w:val="0"/>
        <w:widowControl/>
        <w:suppressLineNumbers w:val="0"/>
        <w:jc w:val="left"/>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 xml:space="preserve">1、动植物资源 </w:t>
      </w:r>
    </w:p>
    <w:p>
      <w:pPr>
        <w:keepNext w:val="0"/>
        <w:keepLines w:val="0"/>
        <w:widowControl/>
        <w:suppressLineNumbers w:val="0"/>
        <w:jc w:val="left"/>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 xml:space="preserve">苍溪县域内动植物资源种类繁多，生物资源丰富。森林植被繁茂，雪梨、猕猴桃和三尖杉是苍溪县名果和特有的珍贵经济林木。有粮食作物 17 类 140 个品种，烟、麻、椒、杂等经济作物 10 类 64 个品种，以及各种蔬菜和食用菌等。动物资源品种较多，有 15 类 39 个品种。鱼类有 7 目 16 科 10 亚科 115 种，同时有野猪、豹、狐、猴等 100 余种野生生物资源。 </w:t>
      </w:r>
    </w:p>
    <w:p>
      <w:pPr>
        <w:keepNext w:val="0"/>
        <w:keepLines w:val="0"/>
        <w:widowControl/>
        <w:suppressLineNumbers w:val="0"/>
        <w:jc w:val="left"/>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 xml:space="preserve">2、土壤资源 </w:t>
      </w:r>
    </w:p>
    <w:p>
      <w:pPr>
        <w:keepNext w:val="0"/>
        <w:keepLines w:val="0"/>
        <w:widowControl/>
        <w:suppressLineNumbers w:val="0"/>
        <w:jc w:val="left"/>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 xml:space="preserve">苍溪县土类及分布：1983 年第二次土壤普查，参照国家《暂拟土壤分类系统》，县境土壤分 4 个土类、6 个亚类、10 个土属及 45 个土种。土壤区域分布，由北至南为棕紫泥、黄红紫泥、紫色潮土、老冲积黄泥及灰棕潮土，土层由薄增厚，质地由沙到粘。北部中、低山区水冲刷严重，土层薄、质地沙，为石骨子土、沙土、黄沙泥土及夹沙泥土等土种。永宁、五龙等乡镇多冷浸烂泥田。西南部深丘地带为夹沙土、夹沙黄泥土、瘦沙石骨子土、沙土、黄泥土及大土泥等土种。嘉陵江、东河及 12 条较大溪河沿岸为潮沙土、白眼沙土、潮沙泥土、紫潮沙土及紫潮沙泥土等土种。 </w:t>
      </w:r>
    </w:p>
    <w:p>
      <w:pPr>
        <w:keepNext w:val="0"/>
        <w:keepLines w:val="0"/>
        <w:widowControl/>
        <w:suppressLineNumbers w:val="0"/>
        <w:jc w:val="left"/>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 xml:space="preserve">土壤性状及酸碱度：土壤质地以壤土为主，轻粘土居第二，其次为紧砂土和砂壤土。壤土分重壤土、中壤土、轻壤土，面积分别为 45.91 万亩、6.36 万亩、3.26 万亩。轻粘土面积 9.26 万亩，紧砂土和砂壤土面积分别为 2180.5 亩和1566.5 亩。团粒状土壤面积 39.49 万亩，粒状土壤面积 10. 71 万亩，块状土壤面积 2.99 万亩，碎块状土壤面积 11.96 万亩。土壤 pH &lt;5.5 酸性土壤和&gt;8.5 碱性土壤，前者为 3448.2 亩．后者为 2180.5 亩；pH5. 5—6.5 酸性土壤面积 4075.0 亩；pH6. 5—7.5 中性土壤面积 18.79 万亩；pH7. 5—8.5 微碱性土壤面积 45.41 万亩。 </w:t>
      </w:r>
    </w:p>
    <w:p>
      <w:pPr>
        <w:keepNext w:val="0"/>
        <w:keepLines w:val="0"/>
        <w:widowControl/>
        <w:suppressLineNumbers w:val="0"/>
        <w:jc w:val="left"/>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 xml:space="preserve">土壤养分：县境土壤养分含量一般有机质低，氮少，磷缺，钾仅够，锌、硼、钼等微量元素不足。养分含量随地形坡度及耕层薄、厚而异。 </w:t>
      </w:r>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4.1.6地震情况</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苍溪县在大地构造上属扬子准地台之四川中台坳，从地质力学观点看，苍溪县属我国东部巨型新华夏系第三沉降带四川盘地的川西褶带和川中褶带。以苍溪向斜为界，其西北为川西褶带，其东北南为川中褶带。总的看来，构造较为简单，由宽缓的褶皱——背斜和向斜构成，以北东和北东东向为主。 </w:t>
      </w:r>
    </w:p>
    <w:p>
      <w:pPr>
        <w:keepNext w:val="0"/>
        <w:keepLines w:val="0"/>
        <w:widowControl/>
        <w:suppressLineNumbers w:val="0"/>
        <w:jc w:val="left"/>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据 2008 年 6 月中国地震局发布的《四川、甘肃、陕西部分地区地震动峰值加速度区划图、地震动反应谱特征区划图》差得，规划区地震动峰值加速度为0.05g，动反应谱特征周期 0.40s，对应地震基本烈度为Ⅵ度，区域构造稳定性好。</w:t>
      </w:r>
    </w:p>
    <w:p>
      <w:pPr>
        <w:pStyle w:val="5"/>
        <w:bidi w:val="0"/>
        <w:rPr>
          <w:rFonts w:hint="default" w:ascii="Times New Roman" w:hAnsi="Times New Roman" w:eastAsia="宋体" w:cs="Times New Roman"/>
          <w:color w:val="auto"/>
          <w:highlight w:val="none"/>
        </w:rPr>
      </w:pPr>
      <w:bookmarkStart w:id="41" w:name="_Toc28687"/>
      <w:r>
        <w:rPr>
          <w:rFonts w:hint="default" w:ascii="Times New Roman" w:hAnsi="Times New Roman" w:eastAsia="宋体" w:cs="Times New Roman"/>
          <w:color w:val="auto"/>
          <w:highlight w:val="none"/>
          <w:lang w:val="en-US" w:eastAsia="zh-CN"/>
        </w:rPr>
        <w:t>4.2</w:t>
      </w:r>
      <w:r>
        <w:rPr>
          <w:rFonts w:hint="default" w:ascii="Times New Roman" w:hAnsi="Times New Roman" w:eastAsia="宋体" w:cs="Times New Roman"/>
          <w:color w:val="auto"/>
          <w:highlight w:val="none"/>
        </w:rPr>
        <w:t>环境质量现状调查与评价</w:t>
      </w:r>
      <w:bookmarkEnd w:id="41"/>
    </w:p>
    <w:p>
      <w:pPr>
        <w:pStyle w:val="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4.2.1</w:t>
      </w:r>
      <w:r>
        <w:rPr>
          <w:rFonts w:hint="default" w:ascii="Times New Roman" w:hAnsi="Times New Roman" w:eastAsia="宋体" w:cs="Times New Roman"/>
          <w:color w:val="auto"/>
          <w:highlight w:val="none"/>
        </w:rPr>
        <w:t>大气环境质量现状</w:t>
      </w:r>
    </w:p>
    <w:p>
      <w:pPr>
        <w:bidi w:val="0"/>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4.2.1.1</w:t>
      </w:r>
      <w:r>
        <w:rPr>
          <w:rFonts w:hint="default" w:ascii="Times New Roman" w:hAnsi="Times New Roman" w:eastAsia="宋体" w:cs="Times New Roman"/>
          <w:b/>
          <w:bCs/>
          <w:color w:val="auto"/>
        </w:rPr>
        <w:t>达标区判定</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根据《环境影响评价技术导则 大气环境》（HJ 2.2-2018）的要求，区域环境质量现状评价优先采用国家或地方生态环境主管部门公开发布的评价基准年（2019 年）环境质量公告或环境质量报告中的数据或结论。 </w:t>
      </w:r>
    </w:p>
    <w:p>
      <w:pPr>
        <w:keepNext w:val="0"/>
        <w:keepLines w:val="0"/>
        <w:widowControl/>
        <w:suppressLineNumbers w:val="0"/>
        <w:jc w:val="left"/>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kern w:val="0"/>
          <w:sz w:val="24"/>
          <w:szCs w:val="24"/>
          <w:lang w:val="en-US" w:eastAsia="zh-CN" w:bidi="ar"/>
        </w:rPr>
        <w:t>根据苍溪县生态环境局网站公开发布的《苍溪县 2019 年度环境状况公报》，苍溪县环境空气质量监测点位为县东城站，采用点式干法系统进行 24 小时自动连续监测。苍溪县环境空气基本污染物现状监测情况统计结果见下表</w:t>
      </w:r>
    </w:p>
    <w:p>
      <w:pPr>
        <w:pStyle w:val="23"/>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表</w:t>
      </w:r>
      <w:r>
        <w:rPr>
          <w:rFonts w:hint="default" w:ascii="Times New Roman" w:hAnsi="Times New Roman" w:eastAsia="宋体" w:cs="Times New Roman"/>
          <w:b/>
          <w:bCs/>
          <w:color w:val="auto"/>
          <w:highlight w:val="none"/>
          <w:lang w:val="en-US" w:eastAsia="zh-CN"/>
        </w:rPr>
        <w:t>4.2-1  区域环境空气质量现状评价表</w:t>
      </w:r>
    </w:p>
    <w:tbl>
      <w:tblPr>
        <w:tblStyle w:val="25"/>
        <w:tblW w:w="94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5"/>
        <w:gridCol w:w="2022"/>
        <w:gridCol w:w="2135"/>
        <w:gridCol w:w="1360"/>
        <w:gridCol w:w="1077"/>
        <w:gridCol w:w="14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41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评价因子</w:t>
            </w:r>
          </w:p>
        </w:tc>
        <w:tc>
          <w:tcPr>
            <w:tcW w:w="20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年评价指标</w:t>
            </w:r>
          </w:p>
        </w:tc>
        <w:tc>
          <w:tcPr>
            <w:tcW w:w="213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现状浓度（范围）</w:t>
            </w:r>
          </w:p>
        </w:tc>
        <w:tc>
          <w:tcPr>
            <w:tcW w:w="136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标准值</w:t>
            </w:r>
          </w:p>
        </w:tc>
        <w:tc>
          <w:tcPr>
            <w:tcW w:w="107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占标率</w:t>
            </w:r>
          </w:p>
        </w:tc>
        <w:tc>
          <w:tcPr>
            <w:tcW w:w="140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141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p>
        </w:tc>
        <w:tc>
          <w:tcPr>
            <w:tcW w:w="20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213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4.4</w:t>
            </w:r>
            <w:r>
              <w:rPr>
                <w:rFonts w:hint="default" w:ascii="Times New Roman" w:hAnsi="Times New Roman" w:eastAsia="宋体" w:cs="Times New Roman"/>
                <w:color w:val="auto"/>
                <w:sz w:val="21"/>
                <w:szCs w:val="21"/>
              </w:rPr>
              <w:t>µg/m</w:t>
            </w:r>
            <w:r>
              <w:rPr>
                <w:rFonts w:hint="default" w:ascii="Times New Roman" w:hAnsi="Times New Roman" w:eastAsia="宋体" w:cs="Times New Roman"/>
                <w:color w:val="auto"/>
                <w:sz w:val="21"/>
                <w:szCs w:val="21"/>
                <w:vertAlign w:val="superscript"/>
              </w:rPr>
              <w:t>3</w:t>
            </w:r>
          </w:p>
        </w:tc>
        <w:tc>
          <w:tcPr>
            <w:tcW w:w="136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60µg/m</w:t>
            </w:r>
            <w:r>
              <w:rPr>
                <w:rFonts w:hint="default" w:ascii="Times New Roman" w:hAnsi="Times New Roman" w:eastAsia="宋体" w:cs="Times New Roman"/>
                <w:color w:val="auto"/>
                <w:sz w:val="21"/>
                <w:szCs w:val="21"/>
                <w:vertAlign w:val="superscript"/>
              </w:rPr>
              <w:t>3</w:t>
            </w:r>
          </w:p>
        </w:tc>
        <w:tc>
          <w:tcPr>
            <w:tcW w:w="107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7.3</w:t>
            </w:r>
            <w:r>
              <w:rPr>
                <w:rFonts w:hint="default" w:ascii="Times New Roman" w:hAnsi="Times New Roman" w:eastAsia="宋体" w:cs="Times New Roman"/>
                <w:color w:val="auto"/>
                <w:sz w:val="21"/>
                <w:szCs w:val="21"/>
              </w:rPr>
              <w:t>%</w:t>
            </w:r>
          </w:p>
        </w:tc>
        <w:tc>
          <w:tcPr>
            <w:tcW w:w="140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41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2</w:t>
            </w:r>
          </w:p>
        </w:tc>
        <w:tc>
          <w:tcPr>
            <w:tcW w:w="20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213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14.3</w:t>
            </w:r>
            <w:r>
              <w:rPr>
                <w:rFonts w:hint="default" w:ascii="Times New Roman" w:hAnsi="Times New Roman" w:eastAsia="宋体" w:cs="Times New Roman"/>
                <w:color w:val="auto"/>
                <w:sz w:val="21"/>
                <w:szCs w:val="21"/>
              </w:rPr>
              <w:t>µg/m</w:t>
            </w:r>
            <w:r>
              <w:rPr>
                <w:rFonts w:hint="default" w:ascii="Times New Roman" w:hAnsi="Times New Roman" w:eastAsia="宋体" w:cs="Times New Roman"/>
                <w:color w:val="auto"/>
                <w:sz w:val="21"/>
                <w:szCs w:val="21"/>
                <w:vertAlign w:val="superscript"/>
              </w:rPr>
              <w:t>3</w:t>
            </w:r>
          </w:p>
        </w:tc>
        <w:tc>
          <w:tcPr>
            <w:tcW w:w="136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40µg/m</w:t>
            </w:r>
            <w:r>
              <w:rPr>
                <w:rFonts w:hint="default" w:ascii="Times New Roman" w:hAnsi="Times New Roman" w:eastAsia="宋体" w:cs="Times New Roman"/>
                <w:color w:val="auto"/>
                <w:sz w:val="21"/>
                <w:szCs w:val="21"/>
                <w:vertAlign w:val="superscript"/>
              </w:rPr>
              <w:t>3</w:t>
            </w:r>
          </w:p>
        </w:tc>
        <w:tc>
          <w:tcPr>
            <w:tcW w:w="107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35.8</w:t>
            </w:r>
            <w:r>
              <w:rPr>
                <w:rFonts w:hint="default" w:ascii="Times New Roman" w:hAnsi="Times New Roman" w:eastAsia="宋体" w:cs="Times New Roman"/>
                <w:color w:val="auto"/>
                <w:sz w:val="21"/>
                <w:szCs w:val="21"/>
              </w:rPr>
              <w:t>%</w:t>
            </w:r>
          </w:p>
        </w:tc>
        <w:tc>
          <w:tcPr>
            <w:tcW w:w="140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41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10</w:t>
            </w:r>
          </w:p>
        </w:tc>
        <w:tc>
          <w:tcPr>
            <w:tcW w:w="20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213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47.4</w:t>
            </w:r>
            <w:r>
              <w:rPr>
                <w:rFonts w:hint="default" w:ascii="Times New Roman" w:hAnsi="Times New Roman" w:eastAsia="宋体" w:cs="Times New Roman"/>
                <w:color w:val="auto"/>
                <w:sz w:val="21"/>
                <w:szCs w:val="21"/>
              </w:rPr>
              <w:t>µg/m</w:t>
            </w:r>
            <w:r>
              <w:rPr>
                <w:rFonts w:hint="default" w:ascii="Times New Roman" w:hAnsi="Times New Roman" w:eastAsia="宋体" w:cs="Times New Roman"/>
                <w:color w:val="auto"/>
                <w:sz w:val="21"/>
                <w:szCs w:val="21"/>
                <w:vertAlign w:val="superscript"/>
              </w:rPr>
              <w:t>3</w:t>
            </w:r>
          </w:p>
        </w:tc>
        <w:tc>
          <w:tcPr>
            <w:tcW w:w="136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70µg/m</w:t>
            </w:r>
            <w:r>
              <w:rPr>
                <w:rFonts w:hint="default" w:ascii="Times New Roman" w:hAnsi="Times New Roman" w:eastAsia="宋体" w:cs="Times New Roman"/>
                <w:color w:val="auto"/>
                <w:sz w:val="21"/>
                <w:szCs w:val="21"/>
                <w:vertAlign w:val="superscript"/>
              </w:rPr>
              <w:t>3</w:t>
            </w:r>
          </w:p>
        </w:tc>
        <w:tc>
          <w:tcPr>
            <w:tcW w:w="107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67.1</w:t>
            </w:r>
            <w:r>
              <w:rPr>
                <w:rFonts w:hint="default" w:ascii="Times New Roman" w:hAnsi="Times New Roman" w:eastAsia="宋体" w:cs="Times New Roman"/>
                <w:color w:val="auto"/>
                <w:sz w:val="21"/>
                <w:szCs w:val="21"/>
              </w:rPr>
              <w:t>%</w:t>
            </w:r>
          </w:p>
        </w:tc>
        <w:tc>
          <w:tcPr>
            <w:tcW w:w="140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41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2.5</w:t>
            </w:r>
          </w:p>
        </w:tc>
        <w:tc>
          <w:tcPr>
            <w:tcW w:w="20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213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36</w:t>
            </w:r>
            <w:r>
              <w:rPr>
                <w:rFonts w:hint="default" w:ascii="Times New Roman" w:hAnsi="Times New Roman" w:eastAsia="宋体" w:cs="Times New Roman"/>
                <w:color w:val="auto"/>
                <w:sz w:val="21"/>
                <w:szCs w:val="21"/>
              </w:rPr>
              <w:t>µg/m</w:t>
            </w:r>
            <w:r>
              <w:rPr>
                <w:rFonts w:hint="default" w:ascii="Times New Roman" w:hAnsi="Times New Roman" w:eastAsia="宋体" w:cs="Times New Roman"/>
                <w:color w:val="auto"/>
                <w:sz w:val="21"/>
                <w:szCs w:val="21"/>
                <w:vertAlign w:val="superscript"/>
              </w:rPr>
              <w:t>3</w:t>
            </w:r>
          </w:p>
        </w:tc>
        <w:tc>
          <w:tcPr>
            <w:tcW w:w="136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35µg/m</w:t>
            </w:r>
            <w:r>
              <w:rPr>
                <w:rFonts w:hint="default" w:ascii="Times New Roman" w:hAnsi="Times New Roman" w:eastAsia="宋体" w:cs="Times New Roman"/>
                <w:color w:val="auto"/>
                <w:sz w:val="21"/>
                <w:szCs w:val="21"/>
                <w:vertAlign w:val="superscript"/>
              </w:rPr>
              <w:t>3</w:t>
            </w:r>
          </w:p>
        </w:tc>
        <w:tc>
          <w:tcPr>
            <w:tcW w:w="107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102.9</w:t>
            </w:r>
            <w:r>
              <w:rPr>
                <w:rFonts w:hint="default" w:ascii="Times New Roman" w:hAnsi="Times New Roman" w:eastAsia="宋体" w:cs="Times New Roman"/>
                <w:color w:val="auto"/>
                <w:sz w:val="21"/>
                <w:szCs w:val="21"/>
              </w:rPr>
              <w:t>%</w:t>
            </w:r>
          </w:p>
        </w:tc>
        <w:tc>
          <w:tcPr>
            <w:tcW w:w="140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bCs/>
                <w:color w:val="auto"/>
                <w:sz w:val="21"/>
                <w:szCs w:val="21"/>
                <w:lang w:eastAsia="zh-CN"/>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41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O</w:t>
            </w:r>
            <w:r>
              <w:rPr>
                <w:rFonts w:hint="default" w:ascii="Times New Roman" w:hAnsi="Times New Roman" w:eastAsia="宋体" w:cs="Times New Roman"/>
                <w:color w:val="auto"/>
                <w:sz w:val="21"/>
                <w:szCs w:val="21"/>
                <w:vertAlign w:val="subscript"/>
              </w:rPr>
              <w:t>3</w:t>
            </w:r>
          </w:p>
        </w:tc>
        <w:tc>
          <w:tcPr>
            <w:tcW w:w="20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日最大8小时滑动平均值第90百分位数</w:t>
            </w:r>
          </w:p>
        </w:tc>
        <w:tc>
          <w:tcPr>
            <w:tcW w:w="213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119</w:t>
            </w:r>
            <w:r>
              <w:rPr>
                <w:rFonts w:hint="default" w:ascii="Times New Roman" w:hAnsi="Times New Roman" w:eastAsia="宋体" w:cs="Times New Roman"/>
                <w:color w:val="auto"/>
                <w:sz w:val="21"/>
                <w:szCs w:val="21"/>
              </w:rPr>
              <w:t>µg/m</w:t>
            </w:r>
            <w:r>
              <w:rPr>
                <w:rFonts w:hint="default" w:ascii="Times New Roman" w:hAnsi="Times New Roman" w:eastAsia="宋体" w:cs="Times New Roman"/>
                <w:color w:val="auto"/>
                <w:sz w:val="21"/>
                <w:szCs w:val="21"/>
                <w:vertAlign w:val="superscript"/>
              </w:rPr>
              <w:t>3</w:t>
            </w:r>
          </w:p>
        </w:tc>
        <w:tc>
          <w:tcPr>
            <w:tcW w:w="136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160µg/m</w:t>
            </w:r>
            <w:r>
              <w:rPr>
                <w:rFonts w:hint="default" w:ascii="Times New Roman" w:hAnsi="Times New Roman" w:eastAsia="宋体" w:cs="Times New Roman"/>
                <w:color w:val="auto"/>
                <w:sz w:val="21"/>
                <w:szCs w:val="21"/>
                <w:vertAlign w:val="superscript"/>
              </w:rPr>
              <w:t>3</w:t>
            </w:r>
          </w:p>
        </w:tc>
        <w:tc>
          <w:tcPr>
            <w:tcW w:w="107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74.4</w:t>
            </w:r>
            <w:r>
              <w:rPr>
                <w:rFonts w:hint="default" w:ascii="Times New Roman" w:hAnsi="Times New Roman" w:eastAsia="宋体" w:cs="Times New Roman"/>
                <w:color w:val="auto"/>
                <w:sz w:val="21"/>
                <w:szCs w:val="21"/>
              </w:rPr>
              <w:t>%</w:t>
            </w:r>
          </w:p>
        </w:tc>
        <w:tc>
          <w:tcPr>
            <w:tcW w:w="140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41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w:t>
            </w:r>
          </w:p>
        </w:tc>
        <w:tc>
          <w:tcPr>
            <w:tcW w:w="20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24小时平均第95百分位数</w:t>
            </w:r>
          </w:p>
        </w:tc>
        <w:tc>
          <w:tcPr>
            <w:tcW w:w="213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0.8</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136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4mg/m</w:t>
            </w:r>
            <w:r>
              <w:rPr>
                <w:rFonts w:hint="default" w:ascii="Times New Roman" w:hAnsi="Times New Roman" w:eastAsia="宋体" w:cs="Times New Roman"/>
                <w:color w:val="auto"/>
                <w:sz w:val="21"/>
                <w:szCs w:val="21"/>
                <w:vertAlign w:val="superscript"/>
              </w:rPr>
              <w:t>3</w:t>
            </w:r>
          </w:p>
        </w:tc>
        <w:tc>
          <w:tcPr>
            <w:tcW w:w="107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20.0</w:t>
            </w:r>
            <w:r>
              <w:rPr>
                <w:rFonts w:hint="default" w:ascii="Times New Roman" w:hAnsi="Times New Roman" w:eastAsia="宋体" w:cs="Times New Roman"/>
                <w:color w:val="auto"/>
                <w:sz w:val="21"/>
                <w:szCs w:val="21"/>
              </w:rPr>
              <w:t>%</w:t>
            </w:r>
          </w:p>
        </w:tc>
        <w:tc>
          <w:tcPr>
            <w:tcW w:w="140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417" w:type="dxa"/>
            <w:gridSpan w:val="6"/>
            <w:vAlign w:val="center"/>
          </w:tcPr>
          <w:p>
            <w:pPr>
              <w:keepNext w:val="0"/>
              <w:keepLines w:val="0"/>
              <w:widowControl/>
              <w:suppressLineNumbers w:val="0"/>
              <w:jc w:val="left"/>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注：</w:t>
            </w:r>
            <w:r>
              <w:rPr>
                <w:rFonts w:hint="default" w:ascii="Times New Roman" w:hAnsi="Times New Roman" w:eastAsia="宋体" w:cs="Times New Roman"/>
                <w:color w:val="auto"/>
                <w:kern w:val="0"/>
                <w:sz w:val="21"/>
                <w:szCs w:val="21"/>
                <w:lang w:val="en-US" w:eastAsia="zh-CN" w:bidi="ar"/>
              </w:rPr>
              <w:t>环境空气质量标准执行《环境空气质量标准》（GB3095-2012）二级标准</w:t>
            </w:r>
          </w:p>
        </w:tc>
      </w:tr>
    </w:tbl>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由上表可知，苍溪县 2019 年度环境空气中 SO</w:t>
      </w:r>
      <w:r>
        <w:rPr>
          <w:rFonts w:hint="default" w:ascii="Times New Roman" w:hAnsi="Times New Roman" w:eastAsia="宋体" w:cs="Times New Roman"/>
          <w:color w:val="auto"/>
          <w:kern w:val="0"/>
          <w:sz w:val="16"/>
          <w:szCs w:val="16"/>
          <w:lang w:val="en-US" w:eastAsia="zh-CN" w:bidi="ar"/>
        </w:rPr>
        <w:t>2</w:t>
      </w:r>
      <w:r>
        <w:rPr>
          <w:rFonts w:hint="default" w:ascii="Times New Roman" w:hAnsi="Times New Roman" w:eastAsia="宋体" w:cs="Times New Roman"/>
          <w:color w:val="auto"/>
          <w:kern w:val="0"/>
          <w:sz w:val="24"/>
          <w:szCs w:val="24"/>
          <w:lang w:val="en-US" w:eastAsia="zh-CN" w:bidi="ar"/>
        </w:rPr>
        <w:t>、NO</w:t>
      </w:r>
      <w:r>
        <w:rPr>
          <w:rFonts w:hint="default" w:ascii="Times New Roman" w:hAnsi="Times New Roman" w:eastAsia="宋体" w:cs="Times New Roman"/>
          <w:color w:val="auto"/>
          <w:kern w:val="0"/>
          <w:sz w:val="16"/>
          <w:szCs w:val="16"/>
          <w:lang w:val="en-US" w:eastAsia="zh-CN" w:bidi="ar"/>
        </w:rPr>
        <w:t xml:space="preserve">2 </w:t>
      </w:r>
      <w:r>
        <w:rPr>
          <w:rFonts w:hint="default" w:ascii="Times New Roman" w:hAnsi="Times New Roman" w:eastAsia="宋体" w:cs="Times New Roman"/>
          <w:color w:val="auto"/>
          <w:kern w:val="0"/>
          <w:sz w:val="24"/>
          <w:szCs w:val="24"/>
          <w:lang w:val="en-US" w:eastAsia="zh-CN" w:bidi="ar"/>
        </w:rPr>
        <w:t>和 PM</w:t>
      </w:r>
      <w:r>
        <w:rPr>
          <w:rFonts w:hint="default" w:ascii="Times New Roman" w:hAnsi="Times New Roman" w:eastAsia="宋体" w:cs="Times New Roman"/>
          <w:color w:val="auto"/>
          <w:kern w:val="0"/>
          <w:sz w:val="16"/>
          <w:szCs w:val="16"/>
          <w:lang w:val="en-US" w:eastAsia="zh-CN" w:bidi="ar"/>
        </w:rPr>
        <w:t xml:space="preserve">10 </w:t>
      </w:r>
      <w:r>
        <w:rPr>
          <w:rFonts w:hint="default" w:ascii="Times New Roman" w:hAnsi="Times New Roman" w:eastAsia="宋体" w:cs="Times New Roman"/>
          <w:color w:val="auto"/>
          <w:kern w:val="0"/>
          <w:sz w:val="24"/>
          <w:szCs w:val="24"/>
          <w:lang w:val="en-US" w:eastAsia="zh-CN" w:bidi="ar"/>
        </w:rPr>
        <w:t>的年平均质量浓度、CO 的日平均 95 百分位数、O</w:t>
      </w:r>
      <w:r>
        <w:rPr>
          <w:rFonts w:hint="default" w:ascii="Times New Roman" w:hAnsi="Times New Roman" w:eastAsia="宋体" w:cs="Times New Roman"/>
          <w:color w:val="auto"/>
          <w:kern w:val="0"/>
          <w:sz w:val="16"/>
          <w:szCs w:val="16"/>
          <w:lang w:val="en-US" w:eastAsia="zh-CN" w:bidi="ar"/>
        </w:rPr>
        <w:t xml:space="preserve">3 </w:t>
      </w:r>
      <w:r>
        <w:rPr>
          <w:rFonts w:hint="default" w:ascii="Times New Roman" w:hAnsi="Times New Roman" w:eastAsia="宋体" w:cs="Times New Roman"/>
          <w:color w:val="auto"/>
          <w:kern w:val="0"/>
          <w:sz w:val="24"/>
          <w:szCs w:val="24"/>
          <w:lang w:val="en-US" w:eastAsia="zh-CN" w:bidi="ar"/>
        </w:rPr>
        <w:t>最大 8 小时平均第 90 百分位数均达到《环境空气质量标准》（GB3095-2012）二级标准要求，PM</w:t>
      </w:r>
      <w:r>
        <w:rPr>
          <w:rFonts w:hint="default" w:ascii="Times New Roman" w:hAnsi="Times New Roman" w:eastAsia="宋体" w:cs="Times New Roman"/>
          <w:color w:val="auto"/>
          <w:kern w:val="0"/>
          <w:sz w:val="16"/>
          <w:szCs w:val="16"/>
          <w:lang w:val="en-US" w:eastAsia="zh-CN" w:bidi="ar"/>
        </w:rPr>
        <w:t xml:space="preserve">2.5 </w:t>
      </w:r>
      <w:r>
        <w:rPr>
          <w:rFonts w:hint="default" w:ascii="Times New Roman" w:hAnsi="Times New Roman" w:eastAsia="宋体" w:cs="Times New Roman"/>
          <w:color w:val="auto"/>
          <w:kern w:val="0"/>
          <w:sz w:val="24"/>
          <w:szCs w:val="24"/>
          <w:lang w:val="en-US" w:eastAsia="zh-CN" w:bidi="ar"/>
        </w:rPr>
        <w:t>的年平均质量浓度超过《环境空气质量标准》（GB3095-2012）二级标准要求，按照《环境影响评价技术导则 大气环境》（HJ 2.2-2018）要求，苍溪县为环境空气质量</w:t>
      </w:r>
      <w:r>
        <w:rPr>
          <w:rFonts w:hint="default" w:ascii="Times New Roman" w:hAnsi="Times New Roman" w:eastAsia="宋体" w:cs="Times New Roman"/>
          <w:b/>
          <w:bCs/>
          <w:color w:val="auto"/>
          <w:kern w:val="0"/>
          <w:sz w:val="24"/>
          <w:szCs w:val="24"/>
          <w:lang w:val="en-US" w:eastAsia="zh-CN" w:bidi="ar"/>
        </w:rPr>
        <w:t>不达标区。</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根据《苍溪县 2019 年度环境状况公报》中对环境空气质量的评价：2019 年，苍溪县全年监测有效天数为 365 天，其中空气质量为优的 153 天，占全年的41.92%；空气质量为良的 188 天，占全年的 51.51%；空气质量为轻度污染的 21 天，占全年的 5.75%；空气质量为中度污染的 2 天，占全年的 0.55%；空气质量为重度污染的 1 天，占全年的 0.27%，苍溪县空气环境质量优良率达到 93.43%。同比 2018 年优良率上升 6.31%。从整个川东北地区空气质量与苍溪县东城站对比情况来看，空气质量既有地理环境，及地方污染物差异性，也有区域的共同性，苍溪县的优良率略高于川东北地区平均水平，较去年相比也有所上升，六参数平均浓度均低于川东北地区平均水平，综合指数低于川东北地区平均值，说明空气质量整体优于川东北地区平均水平，综合指数同比 2018 年下降率也高于川东北地区平均水平，说明改善程度大于川东北地区平均水平。一方面 2019 年苍溪县雨季增多，空气质量较好，另一方面一年来苍溪县从各方面严加管控，成效明显，当然一年来好的成绩预示来年更加艰巨的目标，苍溪县还需继续努力，毫不松懈，进一步有针对性的严加管控。</w:t>
      </w:r>
    </w:p>
    <w:p>
      <w:pPr>
        <w:bidi w:val="0"/>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4.2.1.2</w:t>
      </w:r>
      <w:r>
        <w:rPr>
          <w:rFonts w:hint="default" w:ascii="Times New Roman" w:hAnsi="Times New Roman" w:eastAsia="宋体" w:cs="Times New Roman"/>
          <w:b/>
          <w:bCs/>
          <w:color w:val="auto"/>
        </w:rPr>
        <w:t>环境空气</w:t>
      </w:r>
      <w:r>
        <w:rPr>
          <w:rFonts w:hint="default" w:ascii="Times New Roman" w:hAnsi="Times New Roman" w:eastAsia="宋体" w:cs="Times New Roman"/>
          <w:b/>
          <w:bCs/>
          <w:color w:val="auto"/>
          <w:lang w:eastAsia="zh-CN"/>
        </w:rPr>
        <w:t>补充监测</w:t>
      </w:r>
      <w:r>
        <w:rPr>
          <w:rFonts w:hint="default" w:ascii="Times New Roman" w:hAnsi="Times New Roman" w:eastAsia="宋体" w:cs="Times New Roman"/>
          <w:b/>
          <w:bCs/>
          <w:color w:val="auto"/>
        </w:rPr>
        <w:t>（特征污染物）</w:t>
      </w:r>
    </w:p>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本次</w:t>
      </w:r>
      <w:r>
        <w:rPr>
          <w:rFonts w:hint="default" w:ascii="Times New Roman" w:hAnsi="Times New Roman" w:eastAsia="宋体" w:cs="Times New Roman"/>
          <w:color w:val="auto"/>
          <w:sz w:val="24"/>
          <w:szCs w:val="24"/>
          <w:lang w:val="en-US" w:eastAsia="zh-CN"/>
        </w:rPr>
        <w:t>非甲烷总烃</w:t>
      </w:r>
      <w:r>
        <w:rPr>
          <w:rFonts w:hint="default" w:ascii="Times New Roman" w:hAnsi="Times New Roman" w:eastAsia="宋体" w:cs="Times New Roman"/>
          <w:color w:val="auto"/>
          <w:sz w:val="24"/>
          <w:szCs w:val="24"/>
        </w:rPr>
        <w:t>评价</w:t>
      </w:r>
      <w:r>
        <w:rPr>
          <w:rFonts w:hint="default" w:ascii="Times New Roman" w:hAnsi="Times New Roman" w:eastAsia="宋体" w:cs="Times New Roman"/>
          <w:color w:val="auto"/>
          <w:sz w:val="24"/>
          <w:szCs w:val="24"/>
          <w:lang w:eastAsia="zh-CN"/>
        </w:rPr>
        <w:t>委托四川锡水金山环保科技有限公司于</w:t>
      </w:r>
      <w:r>
        <w:rPr>
          <w:rFonts w:hint="default" w:ascii="Times New Roman" w:hAnsi="Times New Roman" w:eastAsia="宋体" w:cs="Times New Roman"/>
          <w:color w:val="auto"/>
          <w:sz w:val="24"/>
          <w:szCs w:val="24"/>
          <w:lang w:val="en-US" w:eastAsia="zh-CN"/>
        </w:rPr>
        <w:t>4月14日~4月20日本工程进行了监测。</w:t>
      </w:r>
    </w:p>
    <w:p>
      <w:pPr>
        <w:keepNext w:val="0"/>
        <w:keepLines w:val="0"/>
        <w:numPr>
          <w:ilvl w:val="0"/>
          <w:numId w:val="0"/>
        </w:numPr>
        <w:suppressLineNumbers w:val="0"/>
        <w:spacing w:before="0" w:beforeAutospacing="0" w:after="0" w:afterAutospacing="0" w:line="360" w:lineRule="auto"/>
        <w:ind w:leftChars="200" w:right="0" w:right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监测点位设置</w:t>
      </w:r>
    </w:p>
    <w:p>
      <w:pPr>
        <w:pStyle w:val="23"/>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b/>
          <w:bCs/>
          <w:color w:val="auto"/>
          <w:highlight w:val="none"/>
          <w:lang w:eastAsia="zh-CN"/>
        </w:rPr>
        <w:t>表</w:t>
      </w:r>
      <w:r>
        <w:rPr>
          <w:rFonts w:hint="default" w:ascii="Times New Roman" w:hAnsi="Times New Roman" w:eastAsia="宋体" w:cs="Times New Roman"/>
          <w:b/>
          <w:bCs/>
          <w:color w:val="auto"/>
          <w:highlight w:val="none"/>
          <w:lang w:val="en-US" w:eastAsia="zh-CN"/>
        </w:rPr>
        <w:t>4.2-2  环境空气补充监测布点表</w:t>
      </w:r>
    </w:p>
    <w:tbl>
      <w:tblPr>
        <w:tblStyle w:val="2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161"/>
        <w:gridCol w:w="4079"/>
        <w:gridCol w:w="393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04" w:hRule="atLeast"/>
        </w:trPr>
        <w:tc>
          <w:tcPr>
            <w:tcW w:w="63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编号</w:t>
            </w:r>
          </w:p>
        </w:tc>
        <w:tc>
          <w:tcPr>
            <w:tcW w:w="222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监测点位置</w:t>
            </w:r>
          </w:p>
        </w:tc>
        <w:tc>
          <w:tcPr>
            <w:tcW w:w="214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7" w:hRule="atLeast"/>
        </w:trPr>
        <w:tc>
          <w:tcPr>
            <w:tcW w:w="63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222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工程起点</w:t>
            </w:r>
          </w:p>
        </w:tc>
        <w:tc>
          <w:tcPr>
            <w:tcW w:w="214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106.08806670,31.78051293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63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2#</w:t>
            </w:r>
          </w:p>
        </w:tc>
        <w:tc>
          <w:tcPr>
            <w:tcW w:w="222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工程终点</w:t>
            </w:r>
          </w:p>
        </w:tc>
        <w:tc>
          <w:tcPr>
            <w:tcW w:w="214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105.99949479,31.75740838</w:t>
            </w:r>
          </w:p>
        </w:tc>
      </w:tr>
    </w:tbl>
    <w:p>
      <w:pPr>
        <w:keepNext w:val="0"/>
        <w:keepLines w:val="0"/>
        <w:numPr>
          <w:ilvl w:val="0"/>
          <w:numId w:val="0"/>
        </w:numPr>
        <w:suppressLineNumbers w:val="0"/>
        <w:spacing w:before="0" w:beforeAutospacing="0" w:after="0" w:afterAutospacing="0" w:line="360" w:lineRule="auto"/>
        <w:ind w:leftChars="200" w:right="0" w:rightChars="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2、监测项目</w:t>
      </w:r>
    </w:p>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480" w:lineRule="exact"/>
        <w:ind w:lef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监测因子：</w:t>
      </w:r>
      <w:r>
        <w:rPr>
          <w:rFonts w:hint="default" w:ascii="Times New Roman" w:hAnsi="Times New Roman" w:eastAsia="宋体" w:cs="Times New Roman"/>
          <w:color w:val="auto"/>
          <w:sz w:val="24"/>
          <w:szCs w:val="24"/>
          <w:lang w:val="en-US" w:eastAsia="zh-CN"/>
        </w:rPr>
        <w:t>非甲烷总烃</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3、监测时间及采样频率</w:t>
      </w:r>
    </w:p>
    <w:p>
      <w:pPr>
        <w:keepNext w:val="0"/>
        <w:keepLines w:val="0"/>
        <w:widowControl/>
        <w:suppressLineNumbers w:val="0"/>
        <w:jc w:val="left"/>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连续检测</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天，每天</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次</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kern w:val="0"/>
          <w:sz w:val="25"/>
          <w:szCs w:val="25"/>
          <w:lang w:val="en-US" w:eastAsia="zh-CN" w:bidi="ar"/>
        </w:rPr>
        <w:t>每次采样 60min</w:t>
      </w:r>
      <w:r>
        <w:rPr>
          <w:rFonts w:hint="default" w:ascii="Times New Roman" w:hAnsi="Times New Roman" w:eastAsia="宋体" w:cs="Times New Roman"/>
          <w:color w:val="auto"/>
          <w:sz w:val="24"/>
          <w:szCs w:val="24"/>
          <w:lang w:eastAsia="zh-CN"/>
        </w:rPr>
        <w:t>。</w:t>
      </w:r>
    </w:p>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480" w:lineRule="exact"/>
        <w:ind w:left="240" w:leftChars="0" w:firstLine="240" w:firstLineChars="1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监测结果</w:t>
      </w:r>
    </w:p>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480" w:lineRule="exact"/>
        <w:ind w:leftChars="0" w:firstLine="480"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color w:val="auto"/>
          <w:sz w:val="24"/>
          <w:szCs w:val="24"/>
        </w:rPr>
        <w:t>环境空气质量现状监测及评价结果见下表</w:t>
      </w:r>
      <w:r>
        <w:rPr>
          <w:rFonts w:hint="default" w:ascii="Times New Roman" w:hAnsi="Times New Roman" w:eastAsia="宋体" w:cs="Times New Roman"/>
          <w:color w:val="auto"/>
          <w:sz w:val="24"/>
          <w:szCs w:val="24"/>
          <w:lang w:eastAsia="zh-CN"/>
        </w:rPr>
        <w:t>。</w:t>
      </w:r>
    </w:p>
    <w:p>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5、评价标准</w:t>
      </w:r>
    </w:p>
    <w:p>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非甲烷总烃借鉴中国环境科学出版社出版的原国家环保总局科技司编写的《大气污染物综合排放标准评解》（P244），具体限值：2.0 mg/m3 小时平均浓度。</w:t>
      </w:r>
    </w:p>
    <w:p>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 xml:space="preserve">6、评价方法 </w:t>
      </w:r>
    </w:p>
    <w:p>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根据《环境影响评价技术导则 大气环境》（HJ2.2—2018）中 6.4.2.2：补充监测数据的现状评价内容，分别对各监测点位不同污染物的短期浓度进行环境质量现状评价，对于超标的污染物，计算其超标倍数和超标率。</w:t>
      </w:r>
    </w:p>
    <w:p>
      <w:pPr>
        <w:pStyle w:val="2"/>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7、评价结果 </w:t>
      </w:r>
    </w:p>
    <w:p>
      <w:pPr>
        <w:pStyle w:val="2"/>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本次环境空气监测评价结果如下。</w:t>
      </w:r>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4.2.2地表水环境质量现状</w:t>
      </w:r>
    </w:p>
    <w:p>
      <w:pPr>
        <w:spacing w:line="360" w:lineRule="auto"/>
        <w:ind w:firstLine="482" w:firstLineChars="200"/>
        <w:rPr>
          <w:rFonts w:hint="default" w:ascii="Times New Roman" w:hAnsi="Times New Roman" w:eastAsia="宋体" w:cs="Times New Roman"/>
          <w:color w:val="auto"/>
          <w:sz w:val="21"/>
          <w:highlight w:val="none"/>
        </w:rPr>
      </w:pPr>
      <w:r>
        <w:rPr>
          <w:rFonts w:hint="default" w:ascii="Times New Roman" w:hAnsi="Times New Roman" w:eastAsia="宋体" w:cs="Times New Roman"/>
          <w:b/>
          <w:color w:val="auto"/>
          <w:sz w:val="24"/>
          <w:highlight w:val="none"/>
          <w:lang w:eastAsia="zh-CN"/>
        </w:rPr>
        <w:t>本工程</w:t>
      </w:r>
      <w:r>
        <w:rPr>
          <w:rFonts w:hint="default" w:ascii="Times New Roman" w:hAnsi="Times New Roman" w:eastAsia="宋体" w:cs="Times New Roman"/>
          <w:b/>
          <w:color w:val="auto"/>
          <w:sz w:val="24"/>
          <w:highlight w:val="none"/>
        </w:rPr>
        <w:t>地表水环境影响评价等级为</w:t>
      </w:r>
      <w:r>
        <w:rPr>
          <w:rFonts w:hint="default" w:ascii="Times New Roman" w:hAnsi="Times New Roman" w:eastAsia="宋体" w:cs="Times New Roman"/>
          <w:b/>
          <w:color w:val="auto"/>
          <w:sz w:val="24"/>
          <w:highlight w:val="none"/>
          <w:lang w:eastAsia="zh-CN"/>
        </w:rPr>
        <w:t>三级</w:t>
      </w:r>
      <w:r>
        <w:rPr>
          <w:rFonts w:hint="default" w:ascii="Times New Roman" w:hAnsi="Times New Roman" w:eastAsia="宋体" w:cs="Times New Roman"/>
          <w:b/>
          <w:color w:val="auto"/>
          <w:sz w:val="24"/>
          <w:highlight w:val="none"/>
          <w:lang w:val="en-US" w:eastAsia="zh-CN"/>
        </w:rPr>
        <w:t>B</w:t>
      </w:r>
      <w:r>
        <w:rPr>
          <w:rFonts w:hint="default" w:ascii="Times New Roman" w:hAnsi="Times New Roman" w:eastAsia="宋体" w:cs="Times New Roman"/>
          <w:b/>
          <w:color w:val="auto"/>
          <w:sz w:val="24"/>
          <w:highlight w:val="none"/>
        </w:rPr>
        <w:t>。</w:t>
      </w:r>
    </w:p>
    <w:p>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SA"/>
        </w:rPr>
        <w:t>本工程影响河流主要为</w:t>
      </w:r>
      <w:r>
        <w:rPr>
          <w:rFonts w:hint="default" w:ascii="Times New Roman" w:hAnsi="Times New Roman" w:eastAsia="宋体" w:cs="Times New Roman"/>
          <w:color w:val="auto"/>
          <w:kern w:val="2"/>
          <w:sz w:val="24"/>
          <w:szCs w:val="24"/>
          <w:highlight w:val="none"/>
          <w:lang w:val="en-US" w:eastAsia="zh-CN" w:bidi="ar-SA"/>
        </w:rPr>
        <w:t>东河与青盐沟</w:t>
      </w:r>
      <w:r>
        <w:rPr>
          <w:rFonts w:hint="default" w:ascii="Times New Roman" w:hAnsi="Times New Roman" w:eastAsia="宋体" w:cs="Times New Roman"/>
          <w:color w:val="auto"/>
          <w:kern w:val="2"/>
          <w:sz w:val="24"/>
          <w:szCs w:val="24"/>
          <w:lang w:val="en-US" w:eastAsia="zh-CN" w:bidi="ar-SA"/>
        </w:rPr>
        <w:t>，根据《环境影响评价技术导则地表水环境》（HJ2.3-2018），水环境质量现状调查应根据不同评价等级对应的评价时期要求开展水环境质量现状调查；应优先采用国务院生态环境保护主管部门统一发布的水环境状况信息。本次地表水现状评价采用2020 年3 月广元市苍溪生态环境局发布的《2019年苍溪县环境状况公报》作为评价地表水环境质量现状依据。</w:t>
      </w:r>
    </w:p>
    <w:p>
      <w:pPr>
        <w:bidi w:val="0"/>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4.2.2.1地表水环境调查</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2"/>
          <w:sz w:val="24"/>
          <w:szCs w:val="24"/>
          <w:lang w:val="en-US" w:eastAsia="zh-CN" w:bidi="ar-SA"/>
        </w:rPr>
        <w:t>根据《2019年苍溪县环境状况公报》地表水环境质量，</w:t>
      </w:r>
      <w:r>
        <w:rPr>
          <w:rFonts w:hint="default" w:ascii="Times New Roman" w:hAnsi="Times New Roman" w:eastAsia="宋体" w:cs="Times New Roman"/>
          <w:i w:val="0"/>
          <w:iCs w:val="0"/>
          <w:caps w:val="0"/>
          <w:color w:val="auto"/>
          <w:spacing w:val="0"/>
          <w:sz w:val="24"/>
          <w:szCs w:val="24"/>
          <w:shd w:val="clear" w:fill="FFFFFF"/>
        </w:rPr>
        <w:t>东河水质为优，达到Ⅱ类标准，其中出境断面王渡水质为优，达到Ⅱ类标准。</w:t>
      </w:r>
      <w:r>
        <w:rPr>
          <w:rFonts w:hint="default" w:ascii="Times New Roman" w:hAnsi="Times New Roman" w:eastAsia="宋体"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河流断面水质类别评价采用单因子评价法，即根据评价时段内该断面参评的指标中类别最高的一项来确定。描述断面的水质类别时，使用“符合”或“劣于”等词语。</w:t>
      </w:r>
      <w:r>
        <w:rPr>
          <w:rFonts w:hint="default" w:ascii="Times New Roman" w:hAnsi="Times New Roman" w:eastAsia="宋体" w:cs="Times New Roman"/>
          <w:i w:val="0"/>
          <w:iCs w:val="0"/>
          <w:caps w:val="0"/>
          <w:color w:val="auto"/>
          <w:spacing w:val="0"/>
          <w:sz w:val="24"/>
          <w:szCs w:val="24"/>
          <w:shd w:val="clear" w:fill="FFFFFF"/>
          <w:lang w:eastAsia="zh-CN"/>
        </w:rPr>
        <w:t>）</w:t>
      </w:r>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4.2.2.2补充监测</w:t>
      </w:r>
    </w:p>
    <w:p>
      <w:pPr>
        <w:pStyle w:val="84"/>
        <w:numPr>
          <w:ilvl w:val="0"/>
          <w:numId w:val="0"/>
        </w:numPr>
        <w:spacing w:line="360" w:lineRule="auto"/>
        <w:ind w:firstLine="480" w:firstLineChars="200"/>
        <w:rPr>
          <w:rFonts w:hint="default" w:ascii="Times New Roman" w:hAnsi="Times New Roman" w:eastAsia="宋体" w:cs="Times New Roman"/>
          <w:b w:val="0"/>
          <w:bCs/>
          <w:i w:val="0"/>
          <w:iCs w:val="0"/>
          <w:caps w:val="0"/>
          <w:color w:val="auto"/>
          <w:spacing w:val="0"/>
          <w:kern w:val="2"/>
          <w:sz w:val="24"/>
          <w:szCs w:val="24"/>
          <w:shd w:val="clear" w:fill="FFFFFF"/>
          <w:lang w:val="en-US" w:eastAsia="zh-CN" w:bidi="ar-SA"/>
        </w:rPr>
      </w:pPr>
      <w:r>
        <w:rPr>
          <w:rFonts w:hint="default" w:ascii="Times New Roman" w:hAnsi="Times New Roman" w:eastAsia="宋体" w:cs="Times New Roman"/>
          <w:b w:val="0"/>
          <w:bCs/>
          <w:i w:val="0"/>
          <w:iCs w:val="0"/>
          <w:caps w:val="0"/>
          <w:color w:val="auto"/>
          <w:spacing w:val="0"/>
          <w:kern w:val="2"/>
          <w:sz w:val="24"/>
          <w:szCs w:val="24"/>
          <w:shd w:val="clear" w:fill="FFFFFF"/>
          <w:lang w:val="en-US" w:eastAsia="zh-CN" w:bidi="ar-SA"/>
        </w:rPr>
        <w:t>1、监测点位布设</w:t>
      </w:r>
    </w:p>
    <w:p>
      <w:pPr>
        <w:pStyle w:val="23"/>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lang w:bidi="ar"/>
        </w:rPr>
      </w:pPr>
      <w:r>
        <w:rPr>
          <w:rFonts w:hint="default" w:ascii="Times New Roman" w:hAnsi="Times New Roman" w:eastAsia="宋体" w:cs="Times New Roman"/>
          <w:b/>
          <w:bCs/>
          <w:color w:val="auto"/>
          <w:highlight w:val="none"/>
          <w:lang w:eastAsia="zh-CN"/>
        </w:rPr>
        <w:t>表</w:t>
      </w:r>
      <w:r>
        <w:rPr>
          <w:rFonts w:hint="default" w:ascii="Times New Roman" w:hAnsi="Times New Roman" w:eastAsia="宋体" w:cs="Times New Roman"/>
          <w:b/>
          <w:bCs/>
          <w:color w:val="auto"/>
          <w:highlight w:val="none"/>
          <w:lang w:val="en-US" w:eastAsia="zh-CN"/>
        </w:rPr>
        <w:t>4.2-4 地表水质量补充监测点位布设表</w:t>
      </w:r>
    </w:p>
    <w:tbl>
      <w:tblPr>
        <w:tblStyle w:val="24"/>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161"/>
        <w:gridCol w:w="4079"/>
        <w:gridCol w:w="393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04" w:hRule="atLeast"/>
        </w:trPr>
        <w:tc>
          <w:tcPr>
            <w:tcW w:w="63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编号</w:t>
            </w:r>
          </w:p>
        </w:tc>
        <w:tc>
          <w:tcPr>
            <w:tcW w:w="222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监测点位置</w:t>
            </w:r>
          </w:p>
        </w:tc>
        <w:tc>
          <w:tcPr>
            <w:tcW w:w="214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63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222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东河穿越处</w:t>
            </w:r>
          </w:p>
        </w:tc>
        <w:tc>
          <w:tcPr>
            <w:tcW w:w="214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106.67282639,31.75267696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0" w:hRule="atLeast"/>
        </w:trPr>
        <w:tc>
          <w:tcPr>
            <w:tcW w:w="63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2#</w:t>
            </w:r>
          </w:p>
        </w:tc>
        <w:tc>
          <w:tcPr>
            <w:tcW w:w="222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青盐沟穿越处</w:t>
            </w:r>
          </w:p>
        </w:tc>
        <w:tc>
          <w:tcPr>
            <w:tcW w:w="214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102.00925827,27.00360060</w:t>
            </w:r>
          </w:p>
        </w:tc>
      </w:tr>
    </w:tbl>
    <w:p>
      <w:pPr>
        <w:numPr>
          <w:ilvl w:val="0"/>
          <w:numId w:val="6"/>
        </w:numPr>
        <w:spacing w:line="360" w:lineRule="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监测因子</w:t>
      </w:r>
    </w:p>
    <w:p>
      <w:pPr>
        <w:pStyle w:val="2"/>
        <w:numPr>
          <w:ilvl w:val="0"/>
          <w:numId w:val="0"/>
        </w:numPr>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监测因子：水温、pH、浴解氧、高锰酸盐指数、化学需氧量、BOD、氨氮、总磷、总氮、阴离子表面活性剂、硫化物、硫酸盐、氯化物、硝酸盐和粪大肠菌群</w:t>
      </w:r>
    </w:p>
    <w:p>
      <w:pPr>
        <w:spacing w:line="360" w:lineRule="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、监测时间及监测频率</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连续监测</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天、每天</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次。</w:t>
      </w:r>
    </w:p>
    <w:p>
      <w:pPr>
        <w:spacing w:line="360" w:lineRule="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eastAsia="zh-CN"/>
        </w:rPr>
        <w:t>评价</w:t>
      </w:r>
      <w:r>
        <w:rPr>
          <w:rFonts w:hint="default" w:ascii="Times New Roman" w:hAnsi="Times New Roman" w:eastAsia="宋体" w:cs="Times New Roman"/>
          <w:color w:val="auto"/>
          <w:sz w:val="24"/>
        </w:rPr>
        <w:t>标准</w:t>
      </w:r>
    </w:p>
    <w:p>
      <w:pPr>
        <w:keepNext w:val="0"/>
        <w:keepLines w:val="0"/>
        <w:widowControl/>
        <w:suppressLineNumbers w:val="0"/>
        <w:jc w:val="left"/>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color w:val="auto"/>
          <w:kern w:val="0"/>
          <w:sz w:val="24"/>
          <w:szCs w:val="24"/>
          <w:lang w:val="en-US" w:eastAsia="zh-CN" w:bidi="ar"/>
        </w:rPr>
        <w:t>水温和悬浮物无质量标准，不做评价；氯化物和硫酸盐按照《地表水环境质量标准》（GB3838-2002）表 2 的标准限值进行评价；其余项目按照《地表水环境质量标准》（GB3838-2002）表 1 中 III 类标准限值进行评价。</w:t>
      </w:r>
    </w:p>
    <w:p>
      <w:pPr>
        <w:rPr>
          <w:rFonts w:hint="default" w:ascii="Times New Roman" w:hAnsi="Times New Roman" w:eastAsia="宋体" w:cs="Times New Roman"/>
          <w:color w:val="auto"/>
          <w:lang w:val="en-US" w:eastAsia="zh-CN"/>
        </w:rPr>
      </w:pPr>
      <w:r>
        <w:rPr>
          <w:rFonts w:hint="default" w:ascii="Times New Roman" w:hAnsi="Times New Roman" w:eastAsia="宋体" w:cs="Times New Roman"/>
          <w:b w:val="0"/>
          <w:bCs w:val="0"/>
          <w:color w:val="auto"/>
          <w:kern w:val="2"/>
          <w:sz w:val="24"/>
          <w:szCs w:val="24"/>
          <w:lang w:val="en-US" w:eastAsia="zh-CN" w:bidi="ar-SA"/>
        </w:rPr>
        <w:t>5、监测结果</w:t>
      </w:r>
    </w:p>
    <w:p>
      <w:pPr>
        <w:pStyle w:val="6"/>
        <w:bidi w:val="0"/>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6、评价方法</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地表水评价方法采用导则推荐的单项污染标准指数法计算公式如下：</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a.一般污染物标准指数为：</w:t>
      </w:r>
    </w:p>
    <w:p>
      <w:pPr>
        <w:spacing w:line="360" w:lineRule="auto"/>
        <w:ind w:firstLine="1692" w:firstLineChars="705"/>
        <w:rPr>
          <w:rFonts w:hint="default" w:ascii="Times New Roman" w:hAnsi="Times New Roman" w:eastAsia="宋体" w:cs="Times New Roman"/>
          <w:color w:val="auto"/>
          <w:sz w:val="24"/>
          <w:vertAlign w:val="subscript"/>
        </w:rPr>
      </w:pPr>
      <w:r>
        <w:rPr>
          <w:rFonts w:hint="default" w:ascii="Times New Roman" w:hAnsi="Times New Roman" w:eastAsia="宋体" w:cs="Times New Roman"/>
          <w:color w:val="auto"/>
          <w:sz w:val="24"/>
        </w:rPr>
        <w:t>S</w:t>
      </w:r>
      <w:r>
        <w:rPr>
          <w:rFonts w:hint="default" w:ascii="Times New Roman" w:hAnsi="Times New Roman" w:eastAsia="宋体" w:cs="Times New Roman"/>
          <w:color w:val="auto"/>
          <w:sz w:val="24"/>
          <w:vertAlign w:val="subscript"/>
        </w:rPr>
        <w:t>ij</w:t>
      </w:r>
      <w:r>
        <w:rPr>
          <w:rFonts w:hint="default" w:ascii="Times New Roman" w:hAnsi="Times New Roman" w:eastAsia="宋体" w:cs="Times New Roman"/>
          <w:color w:val="auto"/>
          <w:sz w:val="24"/>
        </w:rPr>
        <w:t>=C</w:t>
      </w:r>
      <w:r>
        <w:rPr>
          <w:rFonts w:hint="default" w:ascii="Times New Roman" w:hAnsi="Times New Roman" w:eastAsia="宋体" w:cs="Times New Roman"/>
          <w:color w:val="auto"/>
          <w:sz w:val="24"/>
          <w:vertAlign w:val="subscript"/>
        </w:rPr>
        <w:t>ij</w:t>
      </w:r>
      <w:r>
        <w:rPr>
          <w:rFonts w:hint="default" w:ascii="Times New Roman" w:hAnsi="Times New Roman" w:eastAsia="宋体" w:cs="Times New Roman"/>
          <w:color w:val="auto"/>
          <w:sz w:val="24"/>
        </w:rPr>
        <w:t>/C</w:t>
      </w:r>
      <w:r>
        <w:rPr>
          <w:rFonts w:hint="default" w:ascii="Times New Roman" w:hAnsi="Times New Roman" w:eastAsia="宋体" w:cs="Times New Roman"/>
          <w:color w:val="auto"/>
          <w:sz w:val="24"/>
          <w:vertAlign w:val="subscript"/>
        </w:rPr>
        <w:t>si</w:t>
      </w:r>
    </w:p>
    <w:p>
      <w:pPr>
        <w:spacing w:line="360" w:lineRule="auto"/>
        <w:ind w:firstLine="480" w:firstLineChars="200"/>
        <w:rPr>
          <w:rFonts w:hint="default" w:ascii="Times New Roman" w:hAnsi="Times New Roman" w:eastAsia="宋体" w:cs="Times New Roman"/>
          <w:color w:val="auto"/>
          <w:sz w:val="24"/>
          <w:vertAlign w:val="superscript"/>
        </w:rPr>
      </w:pPr>
      <w:r>
        <w:rPr>
          <w:rFonts w:hint="default" w:ascii="Times New Roman" w:hAnsi="Times New Roman" w:eastAsia="宋体" w:cs="Times New Roman"/>
          <w:color w:val="auto"/>
          <w:sz w:val="24"/>
        </w:rPr>
        <w:t>式中：S</w:t>
      </w:r>
      <w:r>
        <w:rPr>
          <w:rFonts w:hint="default" w:ascii="Times New Roman" w:hAnsi="Times New Roman" w:eastAsia="宋体" w:cs="Times New Roman"/>
          <w:color w:val="auto"/>
          <w:sz w:val="24"/>
          <w:vertAlign w:val="subscript"/>
        </w:rPr>
        <w:t>ij</w:t>
      </w:r>
      <w:r>
        <w:rPr>
          <w:rFonts w:hint="default" w:ascii="Times New Roman" w:hAnsi="Times New Roman" w:eastAsia="宋体" w:cs="Times New Roman"/>
          <w:color w:val="auto"/>
          <w:sz w:val="24"/>
        </w:rPr>
        <w:t>―单项污染指数；C</w:t>
      </w:r>
      <w:r>
        <w:rPr>
          <w:rFonts w:hint="default" w:ascii="Times New Roman" w:hAnsi="Times New Roman" w:eastAsia="宋体" w:cs="Times New Roman"/>
          <w:color w:val="auto"/>
          <w:sz w:val="24"/>
          <w:vertAlign w:val="subscript"/>
        </w:rPr>
        <w:t>ij</w:t>
      </w:r>
      <w:r>
        <w:rPr>
          <w:rFonts w:hint="default" w:ascii="Times New Roman" w:hAnsi="Times New Roman" w:eastAsia="宋体" w:cs="Times New Roman"/>
          <w:color w:val="auto"/>
          <w:sz w:val="24"/>
        </w:rPr>
        <w:t>―污染物浓度监测值， mg/L；</w:t>
      </w:r>
    </w:p>
    <w:p>
      <w:pPr>
        <w:spacing w:line="360" w:lineRule="auto"/>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C</w:t>
      </w:r>
      <w:r>
        <w:rPr>
          <w:rFonts w:hint="default" w:ascii="Times New Roman" w:hAnsi="Times New Roman" w:eastAsia="宋体" w:cs="Times New Roman"/>
          <w:color w:val="auto"/>
          <w:sz w:val="24"/>
          <w:vertAlign w:val="subscript"/>
        </w:rPr>
        <w:t>si</w:t>
      </w:r>
      <w:r>
        <w:rPr>
          <w:rFonts w:hint="default" w:ascii="Times New Roman" w:hAnsi="Times New Roman" w:eastAsia="宋体" w:cs="Times New Roman"/>
          <w:color w:val="auto"/>
          <w:sz w:val="24"/>
        </w:rPr>
        <w:t>―水污染物标准， mg/L</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b. pH的标准指数为：</w:t>
      </w:r>
    </w:p>
    <w:p>
      <w:pPr>
        <w:spacing w:line="360" w:lineRule="auto"/>
        <w:ind w:firstLine="1636" w:firstLineChars="68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S</w:t>
      </w:r>
      <w:r>
        <w:rPr>
          <w:rFonts w:hint="default" w:ascii="Times New Roman" w:hAnsi="Times New Roman" w:eastAsia="宋体" w:cs="Times New Roman"/>
          <w:color w:val="auto"/>
          <w:sz w:val="24"/>
          <w:vertAlign w:val="subscript"/>
        </w:rPr>
        <w:t>pHj</w:t>
      </w:r>
      <w:r>
        <w:rPr>
          <w:rFonts w:hint="default" w:ascii="Times New Roman" w:hAnsi="Times New Roman" w:eastAsia="宋体" w:cs="Times New Roman"/>
          <w:color w:val="auto"/>
          <w:sz w:val="24"/>
        </w:rPr>
        <w:t>=(7.0-pH</w:t>
      </w:r>
      <w:r>
        <w:rPr>
          <w:rFonts w:hint="default" w:ascii="Times New Roman" w:hAnsi="Times New Roman" w:eastAsia="宋体" w:cs="Times New Roman"/>
          <w:color w:val="auto"/>
          <w:sz w:val="24"/>
          <w:vertAlign w:val="subscript"/>
        </w:rPr>
        <w:t>j</w:t>
      </w:r>
      <w:r>
        <w:rPr>
          <w:rFonts w:hint="default" w:ascii="Times New Roman" w:hAnsi="Times New Roman" w:eastAsia="宋体" w:cs="Times New Roman"/>
          <w:color w:val="auto"/>
          <w:sz w:val="24"/>
        </w:rPr>
        <w:t>)/(7.0- pH</w:t>
      </w:r>
      <w:r>
        <w:rPr>
          <w:rFonts w:hint="default" w:ascii="Times New Roman" w:hAnsi="Times New Roman" w:eastAsia="宋体" w:cs="Times New Roman"/>
          <w:color w:val="auto"/>
          <w:sz w:val="24"/>
          <w:vertAlign w:val="subscript"/>
        </w:rPr>
        <w:t>sd</w:t>
      </w:r>
      <w:r>
        <w:rPr>
          <w:rFonts w:hint="default" w:ascii="Times New Roman" w:hAnsi="Times New Roman" w:eastAsia="宋体" w:cs="Times New Roman"/>
          <w:color w:val="auto"/>
          <w:sz w:val="24"/>
        </w:rPr>
        <w:t>)   （pH</w:t>
      </w:r>
      <w:r>
        <w:rPr>
          <w:rFonts w:hint="default" w:ascii="Times New Roman" w:hAnsi="Times New Roman" w:eastAsia="宋体" w:cs="Times New Roman"/>
          <w:color w:val="auto"/>
          <w:sz w:val="24"/>
          <w:vertAlign w:val="subscript"/>
        </w:rPr>
        <w:t>j</w:t>
      </w:r>
      <w:r>
        <w:rPr>
          <w:rFonts w:hint="default" w:ascii="Times New Roman" w:hAnsi="Times New Roman" w:eastAsia="宋体" w:cs="Times New Roman"/>
          <w:color w:val="auto"/>
          <w:sz w:val="24"/>
        </w:rPr>
        <w:t>≤7.0）</w:t>
      </w:r>
    </w:p>
    <w:p>
      <w:pPr>
        <w:spacing w:line="360" w:lineRule="auto"/>
        <w:ind w:firstLine="1636" w:firstLineChars="68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S</w:t>
      </w:r>
      <w:r>
        <w:rPr>
          <w:rFonts w:hint="default" w:ascii="Times New Roman" w:hAnsi="Times New Roman" w:eastAsia="宋体" w:cs="Times New Roman"/>
          <w:color w:val="auto"/>
          <w:sz w:val="24"/>
          <w:vertAlign w:val="subscript"/>
        </w:rPr>
        <w:t>pHj</w:t>
      </w:r>
      <w:r>
        <w:rPr>
          <w:rFonts w:hint="default" w:ascii="Times New Roman" w:hAnsi="Times New Roman" w:eastAsia="宋体" w:cs="Times New Roman"/>
          <w:color w:val="auto"/>
          <w:sz w:val="24"/>
        </w:rPr>
        <w:t>=( pH</w:t>
      </w:r>
      <w:r>
        <w:rPr>
          <w:rFonts w:hint="default" w:ascii="Times New Roman" w:hAnsi="Times New Roman" w:eastAsia="宋体" w:cs="Times New Roman"/>
          <w:color w:val="auto"/>
          <w:sz w:val="24"/>
          <w:vertAlign w:val="subscript"/>
        </w:rPr>
        <w:t>j</w:t>
      </w:r>
      <w:r>
        <w:rPr>
          <w:rFonts w:hint="default" w:ascii="Times New Roman" w:hAnsi="Times New Roman" w:eastAsia="宋体" w:cs="Times New Roman"/>
          <w:color w:val="auto"/>
          <w:sz w:val="24"/>
        </w:rPr>
        <w:t>.-7.0)/( pH</w:t>
      </w:r>
      <w:r>
        <w:rPr>
          <w:rFonts w:hint="default" w:ascii="Times New Roman" w:hAnsi="Times New Roman" w:eastAsia="宋体" w:cs="Times New Roman"/>
          <w:color w:val="auto"/>
          <w:sz w:val="24"/>
          <w:vertAlign w:val="subscript"/>
        </w:rPr>
        <w:t>su</w:t>
      </w:r>
      <w:r>
        <w:rPr>
          <w:rFonts w:hint="default" w:ascii="Times New Roman" w:hAnsi="Times New Roman" w:eastAsia="宋体" w:cs="Times New Roman"/>
          <w:color w:val="auto"/>
          <w:sz w:val="24"/>
        </w:rPr>
        <w:t xml:space="preserve"> -7.0) （pH</w:t>
      </w:r>
      <w:r>
        <w:rPr>
          <w:rFonts w:hint="default" w:ascii="Times New Roman" w:hAnsi="Times New Roman" w:eastAsia="宋体" w:cs="Times New Roman"/>
          <w:color w:val="auto"/>
          <w:sz w:val="24"/>
          <w:vertAlign w:val="subscript"/>
        </w:rPr>
        <w:t>j</w:t>
      </w:r>
      <w:r>
        <w:rPr>
          <w:rFonts w:hint="default" w:ascii="Times New Roman" w:hAnsi="Times New Roman" w:eastAsia="宋体" w:cs="Times New Roman"/>
          <w:color w:val="auto"/>
          <w:sz w:val="24"/>
        </w:rPr>
        <w:t>＞7.0）</w:t>
      </w:r>
    </w:p>
    <w:p>
      <w:pPr>
        <w:spacing w:line="360" w:lineRule="auto"/>
        <w:ind w:firstLine="960" w:firstLineChars="4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式中：S</w:t>
      </w:r>
      <w:r>
        <w:rPr>
          <w:rFonts w:hint="default" w:ascii="Times New Roman" w:hAnsi="Times New Roman" w:eastAsia="宋体" w:cs="Times New Roman"/>
          <w:color w:val="auto"/>
          <w:sz w:val="24"/>
          <w:vertAlign w:val="subscript"/>
        </w:rPr>
        <w:t>pHj</w:t>
      </w:r>
      <w:r>
        <w:rPr>
          <w:rFonts w:hint="default" w:ascii="Times New Roman" w:hAnsi="Times New Roman" w:eastAsia="宋体" w:cs="Times New Roman"/>
          <w:color w:val="auto"/>
          <w:sz w:val="24"/>
        </w:rPr>
        <w:t>―pH单因子污染指数；pH</w:t>
      </w:r>
      <w:r>
        <w:rPr>
          <w:rFonts w:hint="default" w:ascii="Times New Roman" w:hAnsi="Times New Roman" w:eastAsia="宋体" w:cs="Times New Roman"/>
          <w:color w:val="auto"/>
          <w:sz w:val="24"/>
          <w:vertAlign w:val="subscript"/>
        </w:rPr>
        <w:t>j</w:t>
      </w:r>
      <w:r>
        <w:rPr>
          <w:rFonts w:hint="default" w:ascii="Times New Roman" w:hAnsi="Times New Roman" w:eastAsia="宋体" w:cs="Times New Roman"/>
          <w:color w:val="auto"/>
          <w:sz w:val="24"/>
        </w:rPr>
        <w:t>―pH监测值；</w:t>
      </w:r>
    </w:p>
    <w:p>
      <w:pPr>
        <w:spacing w:line="360" w:lineRule="auto"/>
        <w:ind w:firstLine="1696" w:firstLineChars="707"/>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pH</w:t>
      </w:r>
      <w:r>
        <w:rPr>
          <w:rFonts w:hint="default" w:ascii="Times New Roman" w:hAnsi="Times New Roman" w:eastAsia="宋体" w:cs="Times New Roman"/>
          <w:color w:val="auto"/>
          <w:sz w:val="24"/>
          <w:vertAlign w:val="subscript"/>
        </w:rPr>
        <w:t>s</w:t>
      </w:r>
      <w:r>
        <w:rPr>
          <w:rFonts w:hint="default" w:ascii="Times New Roman" w:hAnsi="Times New Roman" w:eastAsia="宋体" w:cs="Times New Roman"/>
          <w:color w:val="auto"/>
          <w:sz w:val="24"/>
        </w:rPr>
        <w:t>、pH</w:t>
      </w:r>
      <w:r>
        <w:rPr>
          <w:rFonts w:hint="default" w:ascii="Times New Roman" w:hAnsi="Times New Roman" w:eastAsia="宋体" w:cs="Times New Roman"/>
          <w:color w:val="auto"/>
          <w:sz w:val="24"/>
          <w:vertAlign w:val="subscript"/>
        </w:rPr>
        <w:t>su</w:t>
      </w:r>
      <w:r>
        <w:rPr>
          <w:rFonts w:hint="default" w:ascii="Times New Roman" w:hAnsi="Times New Roman" w:eastAsia="宋体" w:cs="Times New Roman"/>
          <w:color w:val="auto"/>
          <w:sz w:val="24"/>
        </w:rPr>
        <w:t>―标准上限或标准下限；</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sz w:val="24"/>
        </w:rPr>
        <w:t>S</w:t>
      </w:r>
      <w:r>
        <w:rPr>
          <w:rFonts w:hint="default" w:ascii="Times New Roman" w:hAnsi="Times New Roman" w:eastAsia="宋体" w:cs="Times New Roman"/>
          <w:color w:val="auto"/>
          <w:sz w:val="24"/>
          <w:vertAlign w:val="subscript"/>
        </w:rPr>
        <w:t>ij</w:t>
      </w:r>
      <w:r>
        <w:rPr>
          <w:rFonts w:hint="default" w:ascii="Times New Roman" w:hAnsi="Times New Roman" w:eastAsia="宋体" w:cs="Times New Roman"/>
          <w:color w:val="auto"/>
          <w:sz w:val="24"/>
        </w:rPr>
        <w:t>值的大小反映污染物的污染程度，质量指数S</w:t>
      </w:r>
      <w:r>
        <w:rPr>
          <w:rFonts w:hint="default" w:ascii="Times New Roman" w:hAnsi="Times New Roman" w:eastAsia="宋体" w:cs="Times New Roman"/>
          <w:color w:val="auto"/>
          <w:sz w:val="24"/>
          <w:vertAlign w:val="subscript"/>
        </w:rPr>
        <w:t>ij</w:t>
      </w:r>
      <w:r>
        <w:rPr>
          <w:rFonts w:hint="default" w:ascii="Times New Roman" w:hAnsi="Times New Roman" w:eastAsia="宋体" w:cs="Times New Roman"/>
          <w:color w:val="auto"/>
          <w:sz w:val="24"/>
        </w:rPr>
        <w:t>&gt;1说明i污染物水质参数超标，反之不超标。</w:t>
      </w:r>
    </w:p>
    <w:p>
      <w:pP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7、评价结果</w:t>
      </w:r>
    </w:p>
    <w:p>
      <w:pPr>
        <w:pStyle w:val="6"/>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4.2.3地下水环境现状 </w:t>
      </w:r>
    </w:p>
    <w:p>
      <w:pPr>
        <w:keepNext w:val="0"/>
        <w:keepLines w:val="0"/>
        <w:widowControl/>
        <w:suppressLineNumbers w:val="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1、监测点位布设</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水质监测点位：3个</w:t>
      </w:r>
    </w:p>
    <w:p>
      <w:pPr>
        <w:keepNext w:val="0"/>
        <w:keepLines w:val="0"/>
        <w:widowControl/>
        <w:suppressLineNumbers w:val="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2、监测因子</w:t>
      </w:r>
    </w:p>
    <w:p>
      <w:pPr>
        <w:keepNext w:val="0"/>
        <w:keepLines w:val="0"/>
        <w:widowControl/>
        <w:suppressLineNumbers w:val="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K+、Na+</w:t>
      </w:r>
      <w:r>
        <w:rPr>
          <w:rFonts w:hint="eastAsia" w:ascii="Times New Roman" w:hAnsi="Times New Roman" w:cs="Times New Roman"/>
          <w:color w:val="auto"/>
          <w:sz w:val="24"/>
          <w:lang w:val="en-US" w:eastAsia="zh-CN"/>
        </w:rPr>
        <w:t>等八大离子</w:t>
      </w:r>
      <w:r>
        <w:rPr>
          <w:rFonts w:hint="default" w:ascii="Times New Roman" w:hAnsi="Times New Roman" w:eastAsia="宋体" w:cs="Times New Roman"/>
          <w:color w:val="auto"/>
          <w:sz w:val="24"/>
          <w:lang w:val="en-US" w:eastAsia="zh-CN"/>
        </w:rPr>
        <w:t>的浓度。以及pH、氨氮、硝酸盐、亚硝酸盐、挥发性酚类、氰化物、砷、汞、铬(六价)、总硬度、铅、氟、镉、铁、锰、溶解性总固体、高锰酸盐指数、硫酸盐、氯化物、总大肠菌群、细菌总数。</w:t>
      </w:r>
    </w:p>
    <w:p>
      <w:pPr>
        <w:keepNext w:val="0"/>
        <w:keepLines w:val="0"/>
        <w:widowControl/>
        <w:suppressLineNumbers w:val="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、监测频率</w:t>
      </w:r>
    </w:p>
    <w:p>
      <w:pPr>
        <w:keepNext w:val="0"/>
        <w:keepLines w:val="0"/>
        <w:widowControl/>
        <w:suppressLineNumbers w:val="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监测</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天</w:t>
      </w:r>
      <w:r>
        <w:rPr>
          <w:rFonts w:hint="default" w:ascii="Times New Roman" w:hAnsi="Times New Roman" w:eastAsia="宋体" w:cs="Times New Roman"/>
          <w:color w:val="auto"/>
          <w:sz w:val="24"/>
          <w:lang w:eastAsia="zh-CN"/>
        </w:rPr>
        <w:t>，每天一次</w:t>
      </w:r>
      <w:r>
        <w:rPr>
          <w:rFonts w:hint="default" w:ascii="Times New Roman" w:hAnsi="Times New Roman" w:eastAsia="宋体" w:cs="Times New Roman"/>
          <w:color w:val="auto"/>
          <w:sz w:val="24"/>
        </w:rPr>
        <w:t>。</w:t>
      </w:r>
    </w:p>
    <w:p>
      <w:pPr>
        <w:keepNext w:val="0"/>
        <w:keepLines w:val="0"/>
        <w:widowControl/>
        <w:suppressLineNumbers w:val="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rPr>
        <w:t>、执行标准</w:t>
      </w:r>
    </w:p>
    <w:p>
      <w:pPr>
        <w:keepNext w:val="0"/>
        <w:keepLines w:val="0"/>
        <w:widowControl/>
        <w:suppressLineNumbers w:val="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eastAsia="zh-CN"/>
        </w:rPr>
        <w:t>执行《地下水质量标准》（GB</w:t>
      </w:r>
      <w:r>
        <w:rPr>
          <w:rFonts w:hint="default" w:ascii="Times New Roman" w:hAnsi="Times New Roman" w:eastAsia="宋体" w:cs="Times New Roman"/>
          <w:color w:val="auto"/>
          <w:sz w:val="24"/>
          <w:lang w:val="en-US" w:eastAsia="zh-CN"/>
        </w:rPr>
        <w:t>/T 14848-2017</w:t>
      </w:r>
      <w:r>
        <w:rPr>
          <w:rFonts w:hint="default" w:ascii="Times New Roman" w:hAnsi="Times New Roman" w:eastAsia="宋体" w:cs="Times New Roman"/>
          <w:color w:val="auto"/>
          <w:sz w:val="24"/>
          <w:lang w:eastAsia="zh-CN"/>
        </w:rPr>
        <w:t>）Ⅲ类标准</w:t>
      </w:r>
    </w:p>
    <w:p>
      <w:pPr>
        <w:keepNext w:val="0"/>
        <w:keepLines w:val="0"/>
        <w:widowControl/>
        <w:suppressLineNumbers w:val="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5、监测结果</w:t>
      </w:r>
    </w:p>
    <w:p>
      <w:pPr>
        <w:keepNext w:val="0"/>
        <w:keepLines w:val="0"/>
        <w:widowControl/>
        <w:suppressLineNumbers w:val="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6、评价方法</w:t>
      </w:r>
    </w:p>
    <w:p>
      <w:pPr>
        <w:pStyle w:val="2"/>
        <w:bidi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采用单项标准指数法进行地下水质量评价，公式如下：</w:t>
      </w:r>
    </w:p>
    <w:p>
      <w:pPr>
        <w:pStyle w:val="2"/>
        <w:bidi w:val="0"/>
        <w:jc w:val="left"/>
        <w:rPr>
          <w:rFonts w:hint="default" w:ascii="Times New Roman" w:hAnsi="Times New Roman" w:eastAsia="宋体" w:cs="Times New Roman"/>
          <w:color w:val="auto"/>
          <w:lang w:val="en-US" w:eastAsia="zh-CN"/>
        </w:rPr>
      </w:pPr>
    </w:p>
    <w:p>
      <w:pPr>
        <w:keepNext w:val="0"/>
        <w:keepLines w:val="0"/>
        <w:widowControl/>
        <w:suppressLineNumbers w:val="0"/>
        <w:ind w:firstLine="1007" w:firstLineChars="0"/>
        <w:jc w:val="center"/>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position w:val="-24"/>
          <w:lang w:eastAsia="zh-CN"/>
        </w:rPr>
        <w:pict>
          <v:shape id="_x0000_s2076" o:spid="_x0000_s2076" o:spt="75" type="#_x0000_t75" style="position:absolute;left:0pt;margin-left:221.1pt;margin-top:-11.15pt;height:42.35pt;width:56pt;mso-wrap-distance-bottom:0pt;mso-wrap-distance-left:9pt;mso-wrap-distance-right:9pt;mso-wrap-distance-top:0pt;z-index:251675648;mso-width-relative:page;mso-height-relative:page;" o:ole="t" filled="f" o:preferrelative="t" stroked="f" coordsize="21600,21600">
            <v:path/>
            <v:fill on="f" focussize="0,0"/>
            <v:stroke on="f"/>
            <v:imagedata r:id="rId32" o:title=""/>
            <o:lock v:ext="edit" aspectratio="t"/>
            <w10:wrap type="square"/>
          </v:shape>
          <o:OLEObject Type="Embed" ProgID="Equation.KSEE3" ShapeID="_x0000_s2076" DrawAspect="Content" ObjectID="_1468075725" r:id="rId31">
            <o:LockedField>false</o:LockedField>
          </o:OLEObject>
        </w:pict>
      </w:r>
    </w:p>
    <w:p>
      <w:pPr>
        <w:widowControl w:val="0"/>
        <w:autoSpaceDE w:val="0"/>
        <w:autoSpaceDN w:val="0"/>
        <w:bidi w:val="0"/>
        <w:adjustRightInd w:val="0"/>
        <w:spacing w:before="0" w:after="0" w:line="360" w:lineRule="auto"/>
        <w:ind w:left="0" w:right="0" w:firstLine="480" w:firstLineChars="200"/>
        <w:jc w:val="left"/>
        <w:textAlignment w:val="baseline"/>
        <w:rPr>
          <w:rFonts w:hint="default" w:ascii="Times New Roman" w:hAnsi="Times New Roman" w:eastAsia="宋体" w:cs="Times New Roman"/>
          <w:color w:val="auto"/>
          <w:kern w:val="0"/>
          <w:sz w:val="24"/>
          <w:szCs w:val="20"/>
          <w:lang w:val="zh-CN" w:eastAsia="zh-CN" w:bidi="zh-CN"/>
        </w:rPr>
      </w:pPr>
    </w:p>
    <w:p>
      <w:pPr>
        <w:widowControl w:val="0"/>
        <w:autoSpaceDE w:val="0"/>
        <w:autoSpaceDN w:val="0"/>
        <w:bidi w:val="0"/>
        <w:adjustRightInd w:val="0"/>
        <w:spacing w:before="0" w:after="0" w:line="360" w:lineRule="auto"/>
        <w:ind w:left="0" w:right="0" w:firstLine="480" w:firstLineChars="200"/>
        <w:jc w:val="left"/>
        <w:textAlignment w:val="baseline"/>
        <w:rPr>
          <w:rFonts w:hint="default" w:ascii="Times New Roman" w:hAnsi="Times New Roman" w:eastAsia="宋体" w:cs="Times New Roman"/>
          <w:color w:val="auto"/>
          <w:kern w:val="0"/>
          <w:sz w:val="24"/>
          <w:szCs w:val="20"/>
          <w:lang w:val="zh-CN" w:eastAsia="zh-CN" w:bidi="zh-CN"/>
        </w:rPr>
      </w:pPr>
      <w:r>
        <w:rPr>
          <w:rFonts w:hint="default" w:ascii="Times New Roman" w:hAnsi="Times New Roman" w:eastAsia="宋体" w:cs="Times New Roman"/>
          <w:color w:val="auto"/>
          <w:kern w:val="0"/>
          <w:sz w:val="24"/>
          <w:szCs w:val="20"/>
          <w:lang w:val="zh-CN" w:eastAsia="zh-CN" w:bidi="zh-CN"/>
        </w:rPr>
        <w:t>式中：S</w:t>
      </w:r>
      <w:r>
        <w:rPr>
          <w:rFonts w:hint="default" w:ascii="Times New Roman" w:hAnsi="Times New Roman" w:eastAsia="宋体" w:cs="Times New Roman"/>
          <w:color w:val="auto"/>
          <w:kern w:val="0"/>
          <w:sz w:val="24"/>
          <w:szCs w:val="20"/>
          <w:vertAlign w:val="subscript"/>
          <w:lang w:val="zh-CN" w:eastAsia="zh-CN" w:bidi="zh-CN"/>
        </w:rPr>
        <w:t>ij</w:t>
      </w:r>
      <w:r>
        <w:rPr>
          <w:rFonts w:hint="default" w:ascii="Times New Roman" w:hAnsi="Times New Roman" w:eastAsia="宋体" w:cs="Times New Roman"/>
          <w:color w:val="auto"/>
          <w:kern w:val="0"/>
          <w:sz w:val="24"/>
          <w:szCs w:val="20"/>
          <w:lang w:val="zh-CN" w:eastAsia="zh-CN" w:bidi="zh-CN"/>
        </w:rPr>
        <w:t>——评价因子i 的水质指数，大于 1 表明改水质因子超标；</w:t>
      </w:r>
    </w:p>
    <w:p>
      <w:pPr>
        <w:widowControl w:val="0"/>
        <w:autoSpaceDE w:val="0"/>
        <w:autoSpaceDN w:val="0"/>
        <w:bidi w:val="0"/>
        <w:adjustRightInd w:val="0"/>
        <w:spacing w:before="0" w:after="0" w:line="360" w:lineRule="auto"/>
        <w:ind w:left="0" w:right="0" w:firstLine="1200" w:firstLineChars="500"/>
        <w:jc w:val="left"/>
        <w:textAlignment w:val="baseline"/>
        <w:rPr>
          <w:rFonts w:hint="default" w:ascii="Times New Roman" w:hAnsi="Times New Roman" w:eastAsia="宋体" w:cs="Times New Roman"/>
          <w:color w:val="auto"/>
          <w:kern w:val="0"/>
          <w:sz w:val="24"/>
          <w:szCs w:val="20"/>
          <w:lang w:val="zh-CN" w:eastAsia="zh-CN" w:bidi="zh-CN"/>
        </w:rPr>
      </w:pPr>
      <w:r>
        <w:rPr>
          <w:rFonts w:hint="default" w:ascii="Times New Roman" w:hAnsi="Times New Roman" w:eastAsia="宋体" w:cs="Times New Roman"/>
          <w:color w:val="auto"/>
          <w:kern w:val="0"/>
          <w:sz w:val="24"/>
          <w:szCs w:val="20"/>
          <w:lang w:val="zh-CN" w:eastAsia="zh-CN" w:bidi="zh-CN"/>
        </w:rPr>
        <w:t>C</w:t>
      </w:r>
      <w:r>
        <w:rPr>
          <w:rFonts w:hint="default" w:ascii="Times New Roman" w:hAnsi="Times New Roman" w:eastAsia="宋体" w:cs="Times New Roman"/>
          <w:color w:val="auto"/>
          <w:kern w:val="0"/>
          <w:sz w:val="24"/>
          <w:szCs w:val="20"/>
          <w:vertAlign w:val="subscript"/>
          <w:lang w:val="zh-CN" w:eastAsia="zh-CN" w:bidi="zh-CN"/>
        </w:rPr>
        <w:t>ij</w:t>
      </w:r>
      <w:r>
        <w:rPr>
          <w:rFonts w:hint="default" w:ascii="Times New Roman" w:hAnsi="Times New Roman" w:eastAsia="宋体" w:cs="Times New Roman"/>
          <w:color w:val="auto"/>
          <w:kern w:val="0"/>
          <w:sz w:val="24"/>
          <w:szCs w:val="20"/>
          <w:lang w:val="zh-CN" w:eastAsia="zh-CN" w:bidi="zh-CN"/>
        </w:rPr>
        <w:t>——评价因子 i 在 j 点的实测统计代表值，mg/L；</w:t>
      </w:r>
    </w:p>
    <w:p>
      <w:pPr>
        <w:widowControl w:val="0"/>
        <w:autoSpaceDE w:val="0"/>
        <w:autoSpaceDN w:val="0"/>
        <w:bidi w:val="0"/>
        <w:adjustRightInd w:val="0"/>
        <w:spacing w:before="0" w:after="0" w:line="360" w:lineRule="auto"/>
        <w:ind w:left="0" w:right="0" w:firstLine="1200" w:firstLineChars="500"/>
        <w:jc w:val="left"/>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0"/>
          <w:lang w:val="zh-CN" w:eastAsia="zh-CN" w:bidi="zh-CN"/>
        </w:rPr>
        <w:t>C</w:t>
      </w:r>
      <w:r>
        <w:rPr>
          <w:rFonts w:hint="default" w:ascii="Times New Roman" w:hAnsi="Times New Roman" w:eastAsia="宋体" w:cs="Times New Roman"/>
          <w:color w:val="auto"/>
          <w:kern w:val="0"/>
          <w:sz w:val="24"/>
          <w:szCs w:val="20"/>
          <w:vertAlign w:val="subscript"/>
          <w:lang w:val="zh-CN" w:eastAsia="zh-CN" w:bidi="zh-CN"/>
        </w:rPr>
        <w:t>si</w:t>
      </w:r>
      <w:r>
        <w:rPr>
          <w:rFonts w:hint="default" w:ascii="Times New Roman" w:hAnsi="Times New Roman" w:eastAsia="宋体" w:cs="Times New Roman"/>
          <w:color w:val="auto"/>
          <w:kern w:val="0"/>
          <w:sz w:val="24"/>
          <w:szCs w:val="20"/>
          <w:lang w:val="zh-CN" w:eastAsia="zh-CN" w:bidi="zh-CN"/>
        </w:rPr>
        <w:t>——评价因子 i 的水质评价标准限值，mg/L。</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pH的标准指数为：</w:t>
      </w:r>
    </w:p>
    <w:p>
      <w:pPr>
        <w:spacing w:line="360" w:lineRule="auto"/>
        <w:ind w:firstLine="1636" w:firstLineChars="68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S</w:t>
      </w:r>
      <w:r>
        <w:rPr>
          <w:rFonts w:hint="default" w:ascii="Times New Roman" w:hAnsi="Times New Roman" w:eastAsia="宋体" w:cs="Times New Roman"/>
          <w:color w:val="auto"/>
          <w:sz w:val="24"/>
          <w:vertAlign w:val="subscript"/>
        </w:rPr>
        <w:t>pHj</w:t>
      </w:r>
      <w:r>
        <w:rPr>
          <w:rFonts w:hint="default" w:ascii="Times New Roman" w:hAnsi="Times New Roman" w:eastAsia="宋体" w:cs="Times New Roman"/>
          <w:color w:val="auto"/>
          <w:sz w:val="24"/>
        </w:rPr>
        <w:t>=(7.0-pH</w:t>
      </w:r>
      <w:r>
        <w:rPr>
          <w:rFonts w:hint="default" w:ascii="Times New Roman" w:hAnsi="Times New Roman" w:eastAsia="宋体" w:cs="Times New Roman"/>
          <w:color w:val="auto"/>
          <w:sz w:val="24"/>
          <w:vertAlign w:val="subscript"/>
        </w:rPr>
        <w:t>j</w:t>
      </w:r>
      <w:r>
        <w:rPr>
          <w:rFonts w:hint="default" w:ascii="Times New Roman" w:hAnsi="Times New Roman" w:eastAsia="宋体" w:cs="Times New Roman"/>
          <w:color w:val="auto"/>
          <w:sz w:val="24"/>
        </w:rPr>
        <w:t>)/(7.0- pH</w:t>
      </w:r>
      <w:r>
        <w:rPr>
          <w:rFonts w:hint="default" w:ascii="Times New Roman" w:hAnsi="Times New Roman" w:eastAsia="宋体" w:cs="Times New Roman"/>
          <w:color w:val="auto"/>
          <w:sz w:val="24"/>
          <w:vertAlign w:val="subscript"/>
        </w:rPr>
        <w:t>sd</w:t>
      </w:r>
      <w:r>
        <w:rPr>
          <w:rFonts w:hint="default" w:ascii="Times New Roman" w:hAnsi="Times New Roman" w:eastAsia="宋体" w:cs="Times New Roman"/>
          <w:color w:val="auto"/>
          <w:sz w:val="24"/>
        </w:rPr>
        <w:t>)   （pH</w:t>
      </w:r>
      <w:r>
        <w:rPr>
          <w:rFonts w:hint="default" w:ascii="Times New Roman" w:hAnsi="Times New Roman" w:eastAsia="宋体" w:cs="Times New Roman"/>
          <w:color w:val="auto"/>
          <w:sz w:val="24"/>
          <w:vertAlign w:val="subscript"/>
        </w:rPr>
        <w:t>j</w:t>
      </w:r>
      <w:r>
        <w:rPr>
          <w:rFonts w:hint="default" w:ascii="Times New Roman" w:hAnsi="Times New Roman" w:eastAsia="宋体" w:cs="Times New Roman"/>
          <w:color w:val="auto"/>
          <w:sz w:val="24"/>
        </w:rPr>
        <w:t>≤7.0）</w:t>
      </w:r>
    </w:p>
    <w:p>
      <w:pPr>
        <w:spacing w:line="360" w:lineRule="auto"/>
        <w:ind w:firstLine="1636" w:firstLineChars="68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S</w:t>
      </w:r>
      <w:r>
        <w:rPr>
          <w:rFonts w:hint="default" w:ascii="Times New Roman" w:hAnsi="Times New Roman" w:eastAsia="宋体" w:cs="Times New Roman"/>
          <w:color w:val="auto"/>
          <w:sz w:val="24"/>
          <w:vertAlign w:val="subscript"/>
        </w:rPr>
        <w:t>pHj</w:t>
      </w:r>
      <w:r>
        <w:rPr>
          <w:rFonts w:hint="default" w:ascii="Times New Roman" w:hAnsi="Times New Roman" w:eastAsia="宋体" w:cs="Times New Roman"/>
          <w:color w:val="auto"/>
          <w:sz w:val="24"/>
        </w:rPr>
        <w:t>=( pH</w:t>
      </w:r>
      <w:r>
        <w:rPr>
          <w:rFonts w:hint="default" w:ascii="Times New Roman" w:hAnsi="Times New Roman" w:eastAsia="宋体" w:cs="Times New Roman"/>
          <w:color w:val="auto"/>
          <w:sz w:val="24"/>
          <w:vertAlign w:val="subscript"/>
        </w:rPr>
        <w:t>j</w:t>
      </w:r>
      <w:r>
        <w:rPr>
          <w:rFonts w:hint="default" w:ascii="Times New Roman" w:hAnsi="Times New Roman" w:eastAsia="宋体" w:cs="Times New Roman"/>
          <w:color w:val="auto"/>
          <w:sz w:val="24"/>
        </w:rPr>
        <w:t>.-7.0)/( pH</w:t>
      </w:r>
      <w:r>
        <w:rPr>
          <w:rFonts w:hint="default" w:ascii="Times New Roman" w:hAnsi="Times New Roman" w:eastAsia="宋体" w:cs="Times New Roman"/>
          <w:color w:val="auto"/>
          <w:sz w:val="24"/>
          <w:vertAlign w:val="subscript"/>
        </w:rPr>
        <w:t>su</w:t>
      </w:r>
      <w:r>
        <w:rPr>
          <w:rFonts w:hint="default" w:ascii="Times New Roman" w:hAnsi="Times New Roman" w:eastAsia="宋体" w:cs="Times New Roman"/>
          <w:color w:val="auto"/>
          <w:sz w:val="24"/>
        </w:rPr>
        <w:t xml:space="preserve"> -7.0) （pH</w:t>
      </w:r>
      <w:r>
        <w:rPr>
          <w:rFonts w:hint="default" w:ascii="Times New Roman" w:hAnsi="Times New Roman" w:eastAsia="宋体" w:cs="Times New Roman"/>
          <w:color w:val="auto"/>
          <w:sz w:val="24"/>
          <w:vertAlign w:val="subscript"/>
        </w:rPr>
        <w:t>j</w:t>
      </w:r>
      <w:r>
        <w:rPr>
          <w:rFonts w:hint="default" w:ascii="Times New Roman" w:hAnsi="Times New Roman" w:eastAsia="宋体" w:cs="Times New Roman"/>
          <w:color w:val="auto"/>
          <w:sz w:val="24"/>
        </w:rPr>
        <w:t>＞7.0）</w:t>
      </w:r>
    </w:p>
    <w:p>
      <w:pPr>
        <w:spacing w:line="360" w:lineRule="auto"/>
        <w:ind w:firstLine="960" w:firstLineChars="4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式中：S</w:t>
      </w:r>
      <w:r>
        <w:rPr>
          <w:rFonts w:hint="default" w:ascii="Times New Roman" w:hAnsi="Times New Roman" w:eastAsia="宋体" w:cs="Times New Roman"/>
          <w:color w:val="auto"/>
          <w:sz w:val="24"/>
          <w:vertAlign w:val="subscript"/>
        </w:rPr>
        <w:t>pHj</w:t>
      </w:r>
      <w:r>
        <w:rPr>
          <w:rFonts w:hint="default" w:ascii="Times New Roman" w:hAnsi="Times New Roman" w:eastAsia="宋体" w:cs="Times New Roman"/>
          <w:color w:val="auto"/>
          <w:sz w:val="24"/>
        </w:rPr>
        <w:t>―pH单因子污染指数；pH</w:t>
      </w:r>
      <w:r>
        <w:rPr>
          <w:rFonts w:hint="default" w:ascii="Times New Roman" w:hAnsi="Times New Roman" w:eastAsia="宋体" w:cs="Times New Roman"/>
          <w:color w:val="auto"/>
          <w:sz w:val="24"/>
          <w:vertAlign w:val="subscript"/>
        </w:rPr>
        <w:t>j</w:t>
      </w:r>
      <w:r>
        <w:rPr>
          <w:rFonts w:hint="default" w:ascii="Times New Roman" w:hAnsi="Times New Roman" w:eastAsia="宋体" w:cs="Times New Roman"/>
          <w:color w:val="auto"/>
          <w:sz w:val="24"/>
        </w:rPr>
        <w:t>―pH监测值；</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pH</w:t>
      </w:r>
      <w:r>
        <w:rPr>
          <w:rFonts w:hint="default" w:ascii="Times New Roman" w:hAnsi="Times New Roman" w:eastAsia="宋体" w:cs="Times New Roman"/>
          <w:color w:val="auto"/>
          <w:sz w:val="24"/>
          <w:vertAlign w:val="subscript"/>
        </w:rPr>
        <w:t>s</w:t>
      </w:r>
      <w:r>
        <w:rPr>
          <w:rFonts w:hint="default" w:ascii="Times New Roman" w:hAnsi="Times New Roman" w:eastAsia="宋体" w:cs="Times New Roman"/>
          <w:color w:val="auto"/>
          <w:sz w:val="24"/>
        </w:rPr>
        <w:t>、pH</w:t>
      </w:r>
      <w:r>
        <w:rPr>
          <w:rFonts w:hint="default" w:ascii="Times New Roman" w:hAnsi="Times New Roman" w:eastAsia="宋体" w:cs="Times New Roman"/>
          <w:color w:val="auto"/>
          <w:sz w:val="24"/>
          <w:vertAlign w:val="subscript"/>
        </w:rPr>
        <w:t>su</w:t>
      </w:r>
      <w:r>
        <w:rPr>
          <w:rFonts w:hint="default" w:ascii="Times New Roman" w:hAnsi="Times New Roman" w:eastAsia="宋体" w:cs="Times New Roman"/>
          <w:color w:val="auto"/>
          <w:sz w:val="24"/>
        </w:rPr>
        <w:t>―标准上限或标准下限；</w:t>
      </w:r>
    </w:p>
    <w:p>
      <w:pPr>
        <w:pStyle w:val="2"/>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7、评价结果</w:t>
      </w:r>
    </w:p>
    <w:p>
      <w:pPr>
        <w:pStyle w:val="23"/>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4.2.4声环境质量评价</w:t>
      </w:r>
    </w:p>
    <w:p>
      <w:pPr>
        <w:pStyle w:val="23"/>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4.2.4.1区域声环境现状调查</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根据苍溪县生态环境局网站公开发布的《苍溪县 2019 年度环境状况公报》，2019 年，苍溪县功能区声环境质量状况良好，各功能区昼间和夜间噪声全年等效声级均值达到《声环境质量标准》（GB3096-2008）规定的限值，评价为达标。本项目声环境影响评价范围内除分散居民点生活噪声外，无其他噪声源，区域内居民生活噪声声级小，根据对区域噪声源的调查，未发现明显高噪声源，区域声环境质量良好。</w:t>
      </w:r>
    </w:p>
    <w:p>
      <w:pPr>
        <w:pStyle w:val="23"/>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4.2.4.1声环境现状监测</w:t>
      </w:r>
    </w:p>
    <w:p>
      <w:pPr>
        <w:numPr>
          <w:ilvl w:val="0"/>
          <w:numId w:val="7"/>
        </w:numPr>
        <w:spacing w:line="360" w:lineRule="auto"/>
        <w:ind w:firstLine="720" w:firstLineChars="3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监测点位布设</w:t>
      </w:r>
    </w:p>
    <w:p>
      <w:pPr>
        <w:numPr>
          <w:ilvl w:val="0"/>
          <w:numId w:val="0"/>
        </w:num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在项目</w:t>
      </w:r>
      <w:r>
        <w:rPr>
          <w:rFonts w:hint="default" w:ascii="Times New Roman" w:hAnsi="Times New Roman" w:eastAsia="宋体" w:cs="Times New Roman"/>
          <w:color w:val="auto"/>
          <w:sz w:val="24"/>
          <w:lang w:eastAsia="zh-CN"/>
        </w:rPr>
        <w:t>沿线两侧</w:t>
      </w:r>
      <w:r>
        <w:rPr>
          <w:rFonts w:hint="default" w:ascii="Times New Roman" w:hAnsi="Times New Roman" w:eastAsia="宋体" w:cs="Times New Roman"/>
          <w:color w:val="auto"/>
          <w:sz w:val="24"/>
        </w:rPr>
        <w:t>设置共</w:t>
      </w:r>
      <w:r>
        <w:rPr>
          <w:rFonts w:hint="default" w:ascii="Times New Roman" w:hAnsi="Times New Roman" w:eastAsia="宋体" w:cs="Times New Roman"/>
          <w:color w:val="auto"/>
          <w:sz w:val="24"/>
          <w:lang w:val="en-US" w:eastAsia="zh-CN"/>
        </w:rPr>
        <w:t>7</w:t>
      </w:r>
      <w:r>
        <w:rPr>
          <w:rFonts w:hint="default" w:ascii="Times New Roman" w:hAnsi="Times New Roman" w:eastAsia="宋体" w:cs="Times New Roman"/>
          <w:color w:val="auto"/>
          <w:sz w:val="24"/>
        </w:rPr>
        <w:t>个监测点位</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具体监测点布设见下表：</w:t>
      </w:r>
    </w:p>
    <w:p>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b/>
          <w:bCs/>
          <w:color w:val="auto"/>
          <w:highlight w:val="none"/>
          <w:lang w:eastAsia="zh-CN"/>
        </w:rPr>
        <w:t>表</w:t>
      </w:r>
      <w:r>
        <w:rPr>
          <w:rFonts w:hint="default" w:ascii="Times New Roman" w:hAnsi="Times New Roman" w:eastAsia="宋体" w:cs="Times New Roman"/>
          <w:b/>
          <w:bCs/>
          <w:color w:val="auto"/>
          <w:highlight w:val="none"/>
          <w:lang w:val="en-US" w:eastAsia="zh-CN"/>
        </w:rPr>
        <w:t>4.2-5 地表水质量补充监测点位布设表</w:t>
      </w:r>
    </w:p>
    <w:tbl>
      <w:tblPr>
        <w:tblStyle w:val="24"/>
        <w:tblpPr w:leftFromText="180" w:rightFromText="180" w:vertAnchor="text" w:horzAnchor="page" w:tblpX="1827" w:tblpY="424"/>
        <w:tblOverlap w:val="never"/>
        <w:tblW w:w="5139" w:type="pct"/>
        <w:tblInd w:w="0" w:type="dxa"/>
        <w:tblLayout w:type="autofit"/>
        <w:tblCellMar>
          <w:top w:w="0" w:type="dxa"/>
          <w:left w:w="108" w:type="dxa"/>
          <w:bottom w:w="0" w:type="dxa"/>
          <w:right w:w="108" w:type="dxa"/>
        </w:tblCellMar>
      </w:tblPr>
      <w:tblGrid>
        <w:gridCol w:w="1232"/>
        <w:gridCol w:w="3325"/>
        <w:gridCol w:w="4872"/>
      </w:tblGrid>
      <w:tr>
        <w:tblPrEx>
          <w:tblCellMar>
            <w:top w:w="0" w:type="dxa"/>
            <w:left w:w="108" w:type="dxa"/>
            <w:bottom w:w="0" w:type="dxa"/>
            <w:right w:w="108" w:type="dxa"/>
          </w:tblCellMar>
        </w:tblPrEx>
        <w:trPr>
          <w:trHeight w:val="343" w:hRule="atLeast"/>
        </w:trPr>
        <w:tc>
          <w:tcPr>
            <w:tcW w:w="65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编号</w:t>
            </w:r>
          </w:p>
        </w:tc>
        <w:tc>
          <w:tcPr>
            <w:tcW w:w="176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监测点位置</w:t>
            </w:r>
          </w:p>
        </w:tc>
        <w:tc>
          <w:tcPr>
            <w:tcW w:w="258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备注</w:t>
            </w:r>
          </w:p>
        </w:tc>
      </w:tr>
      <w:tr>
        <w:tblPrEx>
          <w:tblCellMar>
            <w:top w:w="0" w:type="dxa"/>
            <w:left w:w="108" w:type="dxa"/>
            <w:bottom w:w="0" w:type="dxa"/>
            <w:right w:w="108" w:type="dxa"/>
          </w:tblCellMar>
        </w:tblPrEx>
        <w:trPr>
          <w:trHeight w:val="343" w:hRule="atLeast"/>
        </w:trPr>
        <w:tc>
          <w:tcPr>
            <w:tcW w:w="65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76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工程起点</w:t>
            </w:r>
          </w:p>
        </w:tc>
        <w:tc>
          <w:tcPr>
            <w:tcW w:w="258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106.08806670,31.78051293</w:t>
            </w:r>
          </w:p>
        </w:tc>
      </w:tr>
      <w:tr>
        <w:tblPrEx>
          <w:tblCellMar>
            <w:top w:w="0" w:type="dxa"/>
            <w:left w:w="108" w:type="dxa"/>
            <w:bottom w:w="0" w:type="dxa"/>
            <w:right w:w="108" w:type="dxa"/>
          </w:tblCellMar>
        </w:tblPrEx>
        <w:trPr>
          <w:trHeight w:val="676" w:hRule="atLeast"/>
        </w:trPr>
        <w:tc>
          <w:tcPr>
            <w:tcW w:w="65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176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阎家沟</w:t>
            </w:r>
          </w:p>
        </w:tc>
        <w:tc>
          <w:tcPr>
            <w:tcW w:w="258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工程沿线右侧居民点，距离项目红线6m；106.07522964,31.75938785</w:t>
            </w:r>
          </w:p>
        </w:tc>
      </w:tr>
      <w:tr>
        <w:tblPrEx>
          <w:tblCellMar>
            <w:top w:w="0" w:type="dxa"/>
            <w:left w:w="108" w:type="dxa"/>
            <w:bottom w:w="0" w:type="dxa"/>
            <w:right w:w="108" w:type="dxa"/>
          </w:tblCellMar>
        </w:tblPrEx>
        <w:trPr>
          <w:trHeight w:val="676" w:hRule="atLeast"/>
        </w:trPr>
        <w:tc>
          <w:tcPr>
            <w:tcW w:w="65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176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黄家坝</w:t>
            </w:r>
          </w:p>
        </w:tc>
        <w:tc>
          <w:tcPr>
            <w:tcW w:w="258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工程沿线右侧居民点，距离项目红线61.1m；106.07069135,31.75171137</w:t>
            </w:r>
          </w:p>
        </w:tc>
      </w:tr>
      <w:tr>
        <w:tblPrEx>
          <w:tblCellMar>
            <w:top w:w="0" w:type="dxa"/>
            <w:left w:w="108" w:type="dxa"/>
            <w:bottom w:w="0" w:type="dxa"/>
            <w:right w:w="108" w:type="dxa"/>
          </w:tblCellMar>
        </w:tblPrEx>
        <w:trPr>
          <w:trHeight w:val="676" w:hRule="atLeast"/>
        </w:trPr>
        <w:tc>
          <w:tcPr>
            <w:tcW w:w="65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1763"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桅杆小学</w:t>
            </w:r>
          </w:p>
        </w:tc>
        <w:tc>
          <w:tcPr>
            <w:tcW w:w="258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工程沿线右侧学校，距离项目红线156.8m；106.02643490,31.76010132</w:t>
            </w:r>
          </w:p>
        </w:tc>
      </w:tr>
      <w:tr>
        <w:tblPrEx>
          <w:tblCellMar>
            <w:top w:w="0" w:type="dxa"/>
            <w:left w:w="108" w:type="dxa"/>
            <w:bottom w:w="0" w:type="dxa"/>
            <w:right w:w="108" w:type="dxa"/>
          </w:tblCellMar>
        </w:tblPrEx>
        <w:trPr>
          <w:trHeight w:val="676" w:hRule="atLeast"/>
        </w:trPr>
        <w:tc>
          <w:tcPr>
            <w:tcW w:w="65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763"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青盐村小学</w:t>
            </w:r>
          </w:p>
        </w:tc>
        <w:tc>
          <w:tcPr>
            <w:tcW w:w="258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工程沿线左侧学校，距离项目红线168.1m；106.01529837,31.75945759</w:t>
            </w:r>
          </w:p>
        </w:tc>
      </w:tr>
      <w:tr>
        <w:tblPrEx>
          <w:tblCellMar>
            <w:top w:w="0" w:type="dxa"/>
            <w:left w:w="108" w:type="dxa"/>
            <w:bottom w:w="0" w:type="dxa"/>
            <w:right w:w="108" w:type="dxa"/>
          </w:tblCellMar>
        </w:tblPrEx>
        <w:trPr>
          <w:trHeight w:val="354" w:hRule="atLeast"/>
        </w:trPr>
        <w:tc>
          <w:tcPr>
            <w:tcW w:w="65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1763"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工程终点</w:t>
            </w:r>
          </w:p>
        </w:tc>
        <w:tc>
          <w:tcPr>
            <w:tcW w:w="2583"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105.99949479,31.75740838</w:t>
            </w:r>
          </w:p>
        </w:tc>
      </w:tr>
    </w:tbl>
    <w:p>
      <w:pPr>
        <w:spacing w:line="360" w:lineRule="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2、监测项目</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各监测点昼间及夜间等效连续A声级。</w:t>
      </w:r>
    </w:p>
    <w:p>
      <w:pPr>
        <w:spacing w:line="360" w:lineRule="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3、监测时间及监测频率</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监测</w:t>
      </w: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天，每天昼间（06：00-22：00）和夜间（22：00-06：00）各监测1次。</w:t>
      </w:r>
    </w:p>
    <w:p>
      <w:pPr>
        <w:pStyle w:val="2"/>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lang w:val="en-US" w:eastAsia="zh-CN"/>
        </w:rPr>
        <w:t>4、评价标准</w:t>
      </w:r>
    </w:p>
    <w:p>
      <w:pPr>
        <w:pStyle w:val="23"/>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lang w:val="en-US" w:eastAsia="zh-CN"/>
        </w:rPr>
        <w:t>管线经过区域和站场环境噪声执行《声环境质量标准》（GB3096-2008）中的2类区标准，经过交通干线两侧红线外35m距离以内，执行《声环境质量标</w:t>
      </w:r>
      <w:r>
        <w:rPr>
          <w:rFonts w:hint="default" w:ascii="Times New Roman" w:hAnsi="Times New Roman" w:eastAsia="宋体" w:cs="Times New Roman"/>
          <w:color w:val="auto"/>
          <w:kern w:val="2"/>
          <w:sz w:val="24"/>
          <w:szCs w:val="24"/>
          <w:lang w:val="en-US" w:eastAsia="zh-CN" w:bidi="ar-SA"/>
        </w:rPr>
        <w:t>准》4a类标准。</w:t>
      </w:r>
    </w:p>
    <w:p>
      <w:pPr>
        <w:pStyle w:val="23"/>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5、监测结果</w:t>
      </w:r>
    </w:p>
    <w:p>
      <w:pPr>
        <w:pStyle w:val="23"/>
        <w:rPr>
          <w:rFonts w:hint="default" w:ascii="Times New Roman" w:hAnsi="Times New Roman" w:eastAsia="宋体" w:cs="Times New Roman"/>
          <w:color w:val="auto"/>
          <w:lang w:val="en-US" w:eastAsia="zh-CN"/>
        </w:rPr>
      </w:pPr>
    </w:p>
    <w:p>
      <w:pPr>
        <w:pStyle w:val="23"/>
        <w:rPr>
          <w:rFonts w:hint="default" w:ascii="Times New Roman" w:hAnsi="Times New Roman" w:eastAsia="宋体" w:cs="Times New Roman"/>
          <w:color w:val="auto"/>
          <w:lang w:val="en-US" w:eastAsia="zh-CN"/>
        </w:rPr>
        <w:sectPr>
          <w:pgSz w:w="11906" w:h="16838"/>
          <w:pgMar w:top="1814" w:right="1474" w:bottom="1474" w:left="1474" w:header="851" w:footer="992" w:gutter="0"/>
          <w:pgBorders w:offsetFrom="page">
            <w:top w:val="none" w:sz="0" w:space="0"/>
            <w:left w:val="none" w:sz="0" w:space="0"/>
            <w:bottom w:val="none" w:sz="0" w:space="0"/>
            <w:right w:val="none" w:sz="0" w:space="0"/>
          </w:pgBorders>
          <w:lnNumType w:countBy="0" w:restart="continuous"/>
          <w:pgNumType w:fmt="decimal"/>
          <w:cols w:space="0" w:num="1"/>
          <w:rtlGutter w:val="0"/>
          <w:docGrid w:type="lines" w:linePitch="330" w:charSpace="0"/>
        </w:sectPr>
      </w:pPr>
    </w:p>
    <w:p>
      <w:pPr>
        <w:pStyle w:val="23"/>
        <w:rPr>
          <w:rFonts w:hint="default" w:ascii="Times New Roman" w:hAnsi="Times New Roman" w:eastAsia="宋体" w:cs="Times New Roman"/>
          <w:color w:val="auto"/>
          <w:lang w:val="en-US" w:eastAsia="zh-CN"/>
        </w:rPr>
      </w:pPr>
    </w:p>
    <w:p>
      <w:pPr>
        <w:pStyle w:val="4"/>
        <w:bidi w:val="0"/>
        <w:rPr>
          <w:rFonts w:hint="default" w:ascii="Times New Roman" w:hAnsi="Times New Roman" w:eastAsia="宋体" w:cs="Times New Roman"/>
          <w:color w:val="auto"/>
          <w:lang w:val="en-US" w:eastAsia="zh-CN"/>
        </w:rPr>
      </w:pPr>
      <w:bookmarkStart w:id="42" w:name="_Toc31573"/>
      <w:r>
        <w:rPr>
          <w:rFonts w:hint="default" w:ascii="Times New Roman" w:hAnsi="Times New Roman" w:eastAsia="宋体" w:cs="Times New Roman"/>
          <w:color w:val="auto"/>
          <w:lang w:val="en-US" w:eastAsia="zh-CN"/>
        </w:rPr>
        <w:t>第五章  环境影响预测与评价</w:t>
      </w:r>
      <w:bookmarkEnd w:id="42"/>
    </w:p>
    <w:p>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b/>
          <w:bCs/>
          <w:color w:val="auto"/>
          <w:kern w:val="0"/>
          <w:sz w:val="24"/>
          <w:szCs w:val="24"/>
          <w:lang w:val="en-US" w:eastAsia="zh-CN" w:bidi="ar"/>
        </w:rPr>
      </w:pPr>
    </w:p>
    <w:p>
      <w:pPr>
        <w:pStyle w:val="5"/>
        <w:keepNext/>
        <w:keepLines/>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highlight w:val="none"/>
          <w:lang w:val="en-US" w:eastAsia="zh-CN"/>
        </w:rPr>
      </w:pPr>
      <w:bookmarkStart w:id="43" w:name="_Toc2319"/>
      <w:r>
        <w:rPr>
          <w:rFonts w:hint="default" w:ascii="Times New Roman" w:hAnsi="Times New Roman" w:eastAsia="宋体" w:cs="Times New Roman"/>
          <w:color w:val="auto"/>
          <w:highlight w:val="none"/>
          <w:lang w:val="en-US" w:eastAsia="zh-CN"/>
        </w:rPr>
        <w:t>5.1生态环境影响评价</w:t>
      </w:r>
      <w:bookmarkEnd w:id="43"/>
      <w:r>
        <w:rPr>
          <w:rFonts w:hint="default" w:ascii="Times New Roman" w:hAnsi="Times New Roman" w:eastAsia="宋体" w:cs="Times New Roman"/>
          <w:color w:val="auto"/>
          <w:highlight w:val="none"/>
          <w:lang w:val="en-US" w:eastAsia="zh-CN"/>
        </w:rPr>
        <w:t xml:space="preserve"> </w:t>
      </w:r>
    </w:p>
    <w:p>
      <w:pPr>
        <w:keepNext w:val="0"/>
        <w:keepLines w:val="0"/>
        <w:pageBreakBefore w:val="0"/>
        <w:widowControl/>
        <w:suppressLineNumbers w:val="0"/>
        <w:kinsoku/>
        <w:wordWrap/>
        <w:overflowPunct/>
        <w:topLinePunct w:val="0"/>
        <w:autoSpaceDE/>
        <w:autoSpaceDN/>
        <w:bidi w:val="0"/>
        <w:adjustRightInd/>
        <w:snapToGrid/>
        <w:ind w:left="0" w:leftChars="0"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按照《环境影响评价技术导则 生态影响》(HJ 19-2011)，本工程生态环境影响评价等级为三级。生态环境现状调查评价范围是以管线为中心两侧各 500m，长</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 xml:space="preserve"> 的带状区域。</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 xml:space="preserve">本工程对生态环境的影响主要表现在施工期。管道线路长 </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，施工带宽 12~14m。该项目对生态环境的影响主要表现为开挖管沟、敷设管道、建设站场、隧道建设、修筑施工道路等工程活动对植被的破坏、对土壤环境的破坏、占用土地、改变土地利用性质等，即打破了地表的原有平衡状态。若恢复治理措施不当，土壤的每一个新剖面，每条新车印都可能形成新的侵蚀起点，从而加重当地的水土流失，并影响农业生产，使当地农民的收入受到一定的损失。</w:t>
      </w:r>
    </w:p>
    <w:p>
      <w:pPr>
        <w:keepNext w:val="0"/>
        <w:keepLines w:val="0"/>
        <w:pageBreakBefore w:val="0"/>
        <w:widowControl/>
        <w:suppressLineNumbers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5.1.1 施工期的生态影响分析 </w:t>
      </w:r>
    </w:p>
    <w:p>
      <w:pPr>
        <w:keepNext w:val="0"/>
        <w:keepLines w:val="0"/>
        <w:pageBreakBefore w:val="0"/>
        <w:widowControl/>
        <w:suppressLineNumbers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5.1.1.1 工程占地的生态影响分析 </w:t>
      </w:r>
    </w:p>
    <w:p>
      <w:pPr>
        <w:keepNext w:val="0"/>
        <w:keepLines w:val="0"/>
        <w:pageBreakBefore w:val="0"/>
        <w:widowControl/>
        <w:suppressLineNumbers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24"/>
          <w:szCs w:val="24"/>
          <w:lang w:val="en-US" w:eastAsia="zh-CN" w:bidi="ar"/>
        </w:rPr>
        <w:t xml:space="preserve">5.1.1.1.1 工程占地情况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全线设站场2 座：其中扩建站场 1 座（元坝首站），新建站场1座（陵江清管站）；管道线路占地分为永久占地和临时占地，永久占地主要是站场、阀室、管道三桩、隧道穿越等，临时占地主要为施工作业带、堆管场、施工便道、弃渣场等。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经统计，本工程总占地 46.23hm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，其中永久占地 55500m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，，临时占地 37.21hm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；占地类型中，采矿用地 0.09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，住宅用地 0.85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，耕地 27.01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，林地 8.92hm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，草地 0.78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，水域及水利设施用地 1.86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，设施农用地 6.72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。占地性质及占地类型具体见表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5.1.1.1.2 永久性占地影响分析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主要工程站场、阀室等永久性占地面积为 55500m2，。从设施占地情况看，站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场占地面积最大，从占地类型来看，永久占地中，占用耕地约 27.01hm</w:t>
      </w:r>
      <w:r>
        <w:rPr>
          <w:rFonts w:hint="default" w:ascii="Times New Roman" w:hAnsi="Times New Roman" w:eastAsia="宋体" w:cs="Times New Roman"/>
          <w:color w:val="auto"/>
          <w:kern w:val="0"/>
          <w:sz w:val="16"/>
          <w:szCs w:val="16"/>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，由于该管道工程需要永久性占地的设施是分散在</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 xml:space="preserve"> 的地段，就沿线区域而言，每一工程单元占地面积较小，且在沿线呈分散性布建，因此本段管线工程永久占地对沿线地区的现有土地利用状况影响很小。从其局部地域看，占地面积最大的是站场，由于其基本没有改变土地利用类型，因此不会影响到所在地域的土地利用状况；除站场外，其它工程单元所占用土地类型的面积很小。因此，本管道工程永久性占地不会对当地土地利用产生较大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项目建设前，</w:t>
      </w:r>
      <w:r>
        <w:rPr>
          <w:rFonts w:hint="default" w:ascii="Times New Roman" w:hAnsi="Times New Roman" w:cs="Times New Roman"/>
          <w:color w:val="auto"/>
          <w:kern w:val="0"/>
          <w:sz w:val="24"/>
          <w:szCs w:val="24"/>
          <w:lang w:val="en-US" w:eastAsia="zh-CN" w:bidi="ar"/>
        </w:rPr>
        <w:t>建设单位</w:t>
      </w:r>
      <w:r>
        <w:rPr>
          <w:rFonts w:hint="default" w:ascii="Times New Roman" w:hAnsi="Times New Roman" w:eastAsia="宋体" w:cs="Times New Roman"/>
          <w:color w:val="auto"/>
          <w:kern w:val="0"/>
          <w:sz w:val="24"/>
          <w:szCs w:val="24"/>
          <w:lang w:val="en-US" w:eastAsia="zh-CN" w:bidi="ar"/>
        </w:rPr>
        <w:t xml:space="preserve">应向沿线地区的国土部门提出工程用地申请，得到主管部门的批复后方可动工；建设单位要与地方政府及有关职能部门积极协调，在施工前认真落实地方有关征地补偿手续及其费用，配合地方政府解决工程沿线扰动区域内的土地占补平衡问题；同时在施工和运行期间要落实本报告书中的有关环境保护措施，将永久性工程占地对沿线地区土地利用的影响减到最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5.1.1.1.3 临时性占地影响分析 </w:t>
      </w:r>
    </w:p>
    <w:p>
      <w:pPr>
        <w:keepNext w:val="0"/>
        <w:keepLines w:val="0"/>
        <w:pageBreakBefore w:val="0"/>
        <w:widowControl/>
        <w:suppressLineNumbers w:val="0"/>
        <w:kinsoku/>
        <w:wordWrap/>
        <w:overflowPunct/>
        <w:topLinePunct w:val="0"/>
        <w:autoSpaceDE/>
        <w:autoSpaceDN/>
        <w:bidi w:val="0"/>
        <w:adjustRightInd/>
        <w:snapToGrid/>
        <w:ind w:left="0" w:leftChars="0" w:firstLine="480" w:firstLineChars="20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从管道工程占用土地情况来看，主要是施工期间的临时占地。在管线及站场施工过程中，施工便道、材料场、穿跨越工程施工作业场地以及管道施工作业带等均为临时占用土地，一般仅在施工阶段造成沿线土地利用的暂时改变，大部分用地在施工结束后短期内（1 年～2 年）能恢复原有的利用功能。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1、管道施工占地 </w:t>
      </w:r>
    </w:p>
    <w:p>
      <w:pPr>
        <w:keepNext w:val="0"/>
        <w:keepLines w:val="0"/>
        <w:pageBreakBefore w:val="0"/>
        <w:widowControl/>
        <w:suppressLineNumbers w:val="0"/>
        <w:kinsoku/>
        <w:wordWrap/>
        <w:overflowPunct/>
        <w:topLinePunct w:val="0"/>
        <w:autoSpaceDE/>
        <w:autoSpaceDN/>
        <w:bidi w:val="0"/>
        <w:adjustRightInd/>
        <w:snapToGrid/>
        <w:ind w:left="0" w:leftChars="0" w:firstLine="480" w:firstLineChars="20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管道工程大部分临时占地是在管道开挖埋设施工过程中，由于管道施工分段 进行，施工时间较短，每段管线从施工到重新覆土约为三个月的时间，施工完毕后，在敷设完成后该地段土地利用大部分可恢复为原利用状态。施工完成后，管道两侧 5m 范围内不能再种植深根植物，一般情况下，该地段可以种植根系不发达的草本植物，以改善景观、防止水土流失。因此从用地类型看对林地、灌丛等用地有一定的影响。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本段管线共临时占用林地 8.92hm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 xml:space="preserve">，从宏观整体区域看，不会影响到该区域的土地利用结构。管道施工完毕，管线两侧 5m 范围外可以重新种植深根作物，对土地利用的影响也将逐渐消失。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2、材料堆放场、施工场地、施工便道占地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材料堆放场、施工场地在施工结束后绝大部分将恢复其原来的用地性质，不会对区域土地利用产生较大影响。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管线施工便道属于临时性工程占地，施工结束后大部分即可恢复原有用地使用性质，一部分的施工便道将作为农村道路或者管道维护的方便而保持下来，虽然改变了其原有的用地性质，但由于保留的施工便道比较少，不会对区域土地利用产生较大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施工便道多按具体的施工工段设置，各工段占地一般为 30 天～45 天，施工便道以依托现有县乡道路为主，新建道路基本是在管道两侧 10m 内，这部分占地见各段主要工程占地类型表。施工期，施工范围内的农作物将被清除铲掉，施工便道需压实；施工结束后，施工便道占用的耕地可恢复原有种植。施工期施工便道对沿线生态环境的影响主要有：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（1）临时占地将破坏地表原有植被作物，其中对农作物而言将减少一季收成；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（2）施工过程中车辆碾压使占地范围内的土壤紧实度增加，对土地复耕后作物根系发育和生长不利；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（3）在干燥天气下，车辆行驶扬尘，使便道两侧作物叶面覆盖降尘，光合作用减弱，影响作物生长；降雨天气，施工车辆进出施工场地，施工便道上的泥土将影响到公路路面的清洁，干燥后会产生扬尘污染；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（4）河流穿越段施工便道的修建，将破坏河堤或堤外灌草植被。由于这部分土质较差，植被破坏后在短期内难以恢复，施工结束后应对河堤等重要地段实施必要的人工植被恢复抚育措施。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总之，临时性工程占地短期内将影响沿线土地的利用状况，施工结束后，随着生态补偿或生态恢复措施的实施，这一影响将逐渐减小或消失。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5.1.1.1.4 占用基本农田影响分析 </w:t>
      </w:r>
    </w:p>
    <w:p>
      <w:pPr>
        <w:keepNext w:val="0"/>
        <w:keepLines w:val="0"/>
        <w:widowControl/>
        <w:suppressLineNumbers w:val="0"/>
        <w:jc w:val="left"/>
        <w:rPr>
          <w:rFonts w:hint="default" w:ascii="Times New Roman" w:hAnsi="Times New Roman" w:eastAsia="宋体" w:cs="Times New Roman"/>
          <w:color w:val="auto"/>
          <w:lang w:val="en-US"/>
        </w:rPr>
      </w:pPr>
      <w:r>
        <w:rPr>
          <w:rFonts w:hint="default" w:ascii="Times New Roman" w:hAnsi="Times New Roman" w:eastAsia="宋体" w:cs="Times New Roman"/>
          <w:color w:val="auto"/>
          <w:kern w:val="0"/>
          <w:sz w:val="24"/>
          <w:szCs w:val="24"/>
          <w:lang w:val="en-US" w:eastAsia="zh-CN" w:bidi="ar"/>
        </w:rPr>
        <w:t>根据四川省国土资源厅出具的《用地预审意见的函》：工程永久占地不涉及基本农田 ，不会对基本农田造成影响。</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54.1.1.1.5 对农业生产影响分析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在管道施工期间，主要包括站场建设、管道施工以及施工便道建设期，当季无法种植农作物，而且将破坏施工地面已有的农作物，这些都将造成一定的经济损失。管道维修养护也将影响农业收入。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对于永久占地，由于改变了原有土地和利用性质，这些土地上的农作物生产力将在管线服务期内永久损失。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在管道正常运行期内，对农业生产基本上不产生什么影响。但是由于在管线两侧 5m 范围内不能种植深根作物，对于原来为深根经济作物的地区会产生一定的损失。对于永久性占地，由于改变了原来的土地使用功能，对农业生产会造成一定的影响。退役期站场关闭，对农业生产的影响逐渐减弱，农作物及其他果树的完全恢复种植还需要 2—3 年不等的时间。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初步计算，管线工程共占用耕地约 27.01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 xml:space="preserve">，造成一次性农作物损失，但想、此损失大多由工程临时占地产生，施工结束后，该部分耕地可恢复成原利用类型。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5.1.1.1.6 对土壤的影响分析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项目建设对土壤的影响主要是建设期管线、站场的建设对土壤的占压和扰动破坏。在勘探阶段前期，勘探人员的踩踏和勘探设备的占压，其土壤影响面积和程度均较小；站场建设阶段，如场地就地平整，对土壤的填挖均集中于建设场地内部，对场地外部影响较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由土地占用情况可知，除站场，阀室等为永久征地外，其他多数为临时占地，临时占地在工程结束后 2～3 年耕作可恢复其原有使用功能。但因重型施工机械的碾压、施工人员的践踏、土体的扰动等原因，施工沿线的耕作土壤或自然土壤的理化性质、肥力水平受到一定的影响，并进一步影响地表植被恢复。这种影响预计持续 2～3 年，随着时间的推移逐渐消失，最终使农作物的产量和品质恢复到原来的水平。具体表现如下：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1、扰乱土壤耕作层、破坏土壤结构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土壤结构是经过较长的历史时期形成的，管沟开挖和回填必将破坏土壤的结构。尤其是土壤中的团粒结构，一旦遭到破坏，必须经过较长的时间才能恢复，对农田土壤影响更大，农田土壤耕作层是保证农业生产的基础，深度一般在 15cm～25cm，是农作物根系生长和发达的层次。管道开挖必定扰乱和破坏土壤的耕作层，除管道开挖的部分直接受到直接的破坏外，开挖土堆放两边占用农田，也会破坏农田的耕作土，此外，土层的混合和扰动，同样会改变原有农田耕作层的性质。因此在整个施工过程中，对土壤耕作层的影响最为严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1)混合土壤层次、改变土壤质地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土壤质地因地形和土壤形成条件的不同而有较大的变化，即使同一土壤剖面，表层土壤质地与底层的也截然不同。输气管道的开挖和回填，必定混合原有的土壤层次，降低土壤的蓄水保肥能力，易受风蚀，从而影响土壤的发育，植被的恢复；在农田区将降低土壤的耕作性能，影响农作物的生长，最终导致农作物产量的下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2、影响土壤养分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土体构型是土壤剖面中各种土层的组合情况。不同土层的特征及理化性质差异较大。就养分而言，表土层远较芯土层好，其有机、全氮、速效磷、钾等含量高，紧实度、孔隙状况适中，适耕性强。施工对原有土体构型势必扰动，使土壤养分状况受到影响，严重者使土壤性质恶化，并波及其上生长的植被，甚至难以恢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根据有关资料统计，管道工程对土壤养分的影响与土壤的理化性状密切相关。在实行分层堆放，分层覆土的措施下，土壤中有机质将下降 30～40％，土壤养分将下降30～50％，其中全氮下降43％左右，磷素下降40％，钾素下降43％。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这表明即使在管道施工过程中实行分层堆放和分层覆土等保护措施，管道工程对土壤养分仍有明显的影响，事实上，在管道施工过程中，难以严格保证对表土实行分层堆放和分层覆土，因而管道施工对土壤养分的影响更为明显，最后导致土地生物生产量的下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3、影响土壤紧实度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管道铺设后的回填，一般难以恢复原有的土壤紧实度，施工中机械碾压，人员践踏等都会影响土壤的紧实度。土层过松，易引起水土流失，土体过紧，又会影响作物生长。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4、土壤污染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施工过程中将产生施工垃圾、生活垃圾以及焊渣、废弃外涂层涂料等废物。这些固体垃圾可能含有难于分解的物质，如不妥善管理，回填入土，将影响土壤质量。若在农田中，将影响土壤耕作和农作物生长。另外施工过程中，各种机器设备的燃油滴漏也可能对沿线土壤造成一定的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随着施工结束，通过采取一定的措施，土壤质量将逐渐得到恢复。管道正常运行期间对土壤的影响较小，主要是清管排放的残渣、污水，可能对土壤造成一定的影响。因此，在清管时只要做好回收工作，就可将其对土壤环境的影响降至最低程度。此外，类比调查表明：管道在运行期间，地表土壤温度比相邻地段高出 1℃～3℃，蒸发量加大，土壤水分减少，冬季土表积雪提前融化，将可能形成—条明显的沟带。 管道在运行期间一旦发生事故风险，漏油将对土壤产生严重污染。 </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总之，铺设管道由于改变了土壤结构和土壤养分状况，但通过采取一定的措施，土壤质量将会逐渐得到恢复。</w:t>
      </w:r>
    </w:p>
    <w:p>
      <w:pPr>
        <w:keepNext w:val="0"/>
        <w:keepLines w:val="0"/>
        <w:widowControl/>
        <w:suppressLineNumbers w:val="0"/>
        <w:jc w:val="left"/>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kern w:val="0"/>
          <w:sz w:val="24"/>
          <w:szCs w:val="24"/>
          <w:lang w:val="en-US" w:eastAsia="zh-CN" w:bidi="ar"/>
        </w:rPr>
        <w:t xml:space="preserve">5.1.1.2 主要工程活动对生态环境的影响分析 </w:t>
      </w:r>
    </w:p>
    <w:p>
      <w:pPr>
        <w:keepNext w:val="0"/>
        <w:keepLines w:val="0"/>
        <w:widowControl/>
        <w:suppressLineNumbers w:val="0"/>
        <w:jc w:val="left"/>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 xml:space="preserve">5.1.1.2.1 敷设管道、修建道路对生态环境的影响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管线主要沿低山、丘陵地带敷设，部分区段需要翻越山体。施工活动将破坏自然植被，工程施工过程中将开挖地表覆盖层，破坏植被，扰动土层，造成山体岩石暴露，产生大量弃石(土)渣，加剧该地区的水土流失。管线爬坡或沿坡脚敷设，放炮开挖管沟可能诱发零星崩塌发生。此外，开挖管沟产生的弃土石方处理不当，也会对生态环境造成严重影响，在以往工程中曾发生过弃土石顺山坡倾倒的现象，造成青山坡变成了砾石堆，甚至堵塞河道，造成严重水土流失，山体石漠化。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管线经过的平原边缘地带以</w:t>
      </w:r>
      <w:r>
        <w:rPr>
          <w:rFonts w:hint="eastAsia" w:ascii="Times New Roman" w:hAnsi="Times New Roman" w:cs="Times New Roman"/>
          <w:color w:val="auto"/>
          <w:kern w:val="0"/>
          <w:sz w:val="24"/>
          <w:szCs w:val="24"/>
          <w:lang w:val="en-US" w:eastAsia="zh-CN" w:bidi="ar"/>
        </w:rPr>
        <w:t>耕地</w:t>
      </w:r>
      <w:r>
        <w:rPr>
          <w:rFonts w:hint="default" w:ascii="Times New Roman" w:hAnsi="Times New Roman" w:eastAsia="宋体" w:cs="Times New Roman"/>
          <w:color w:val="auto"/>
          <w:kern w:val="0"/>
          <w:sz w:val="24"/>
          <w:szCs w:val="24"/>
          <w:lang w:val="en-US" w:eastAsia="zh-CN" w:bidi="ar"/>
        </w:rPr>
        <w:t xml:space="preserve">为主，因此施工活动还会对农业生产造成一定影响。 </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5.1.1.2.2 穿跨越河流对生态环境的影响</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线路长度约</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，河流大型穿越1次，沟渠和小河穿越15次，东河采取定向穿越，其余河流均以开挖方式穿越。</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1、定向钻穿越河流的影响分析 </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定向钻穿越河流不直接接触水体，不影响河流防洪等正常使用功能，安全性高，只要妥善处理好施工废物，不会影响河流水质，也不会影响水生生物物种的种类。</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——定向钻穿越河流需要一定的施工场地，一般入口场地 70m×70m，出口场地 30m×30m。施工活动将导致施工场地范围内的全部植被遭到破坏。但这种影响是临时的，施工结束后，即可对其进行恢复。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——定向钻施工现场的钻屑沉淀池和泥浆收集池有可能泄漏污染水体。根据已有工程的施工现场来看，钻屑沉淀池和泥浆收集池都经过了防渗处理，且有一定的余量，一般不会发生泄漏污染水体。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根据工程分析，施工结束后还将产生废弃泥浆和钻屑。施工所用泥浆无毒且无有害成份。对废泥浆的处置一般采用异地自然干化后覆土掩埋恢复种植的方法；对废钻屑，一般可用来加筑堤坝或平整场地，对周围环境和水体水质影响不大。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河流定向钻施工期间，不直接对河流水体造成扰动，但在堤外的人类、机械车辆等活动，导致对河流水体周边动物产生一定影响，特别是对鸟类产生一定扰动。但由于鸟类活动区域较大，一般不会造成较大影响，随着施工活动的结束，影响也随之消失。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 xml:space="preserve">施工场地同时也会占用两侧部分农田林地等，但总体上减少了对经济类水产养殖的生态影响，降低了施工难度，两侧施工占地在尽可能少占用林地和农田，其环境影响是较小的。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2、大开挖穿越河流的影响分析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大开挖穿越河流，一般采用围堰导流方式，会有暂时阻隔河流流水，增加河水中泥沙含量，产生水土流失的问题。但这种影响只是暂时的，在河水流过一段距离后，由于泥沙的重新沉积会使河水的水质恢复到原有状况。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施工活动扰动水体，对鱼类有驱赶作用，使鱼类远离施工现场，迁到其他地方，使施工区域鱼类密度显著降低。此外，施工活动产生的车辆冲洗水、冷却水，施工人员产生的生活垃圾、生活污水等可能会影响河流水质。若施工中加强管理，注意不要将施工中洒落的机油流入河中，施工结束后，做好河床、河堤的恢复工作，可以说对水生生态环境的影响是暂时的，而且影响较小。</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开挖穿越的河流尽量选择枯水期施工，这样水量较小，施工方便，围堰、导流、开挖的工程量较小，对环境影响小。施工时承包商做好施工组织设计，严格按批准的施工组织设计执行，细化施工过程，做好专项方案及应急预案，以减少施工困难，按时完成穿越任务，保护了环境。</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5.1.1.2.3 穿越公路、铁路对生态环境的影响分析</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本工程乡村公路穿越26次，总计520m，碎石路和机耕道18次，总计360m，无等级公路穿越。对于乡村公路采用顶管方式进行，碎石路和机耕道采用开挖+混凝土盖板进行。</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穿越工程施工期较短，可以采取集中施方式进行，缩短施工期限，影响属短期行为，施工结束影响就消失，施工中只要安排好工程进度，搞好施工管理，妥善解决弃土问题，不会对生态环境带来大的影响。</w:t>
      </w:r>
    </w:p>
    <w:p>
      <w:pPr>
        <w:keepNext w:val="0"/>
        <w:keepLines w:val="0"/>
        <w:widowControl/>
        <w:suppressLineNumbers w:val="0"/>
        <w:ind w:left="0" w:leftChars="0" w:firstLine="0" w:firstLineChars="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5.1.1.2.4 站场、阀室建设对生态环境的影响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本工程全线共设2站场（扩建1 座，新建 1 座）,站场及阀室建设的主要环境影响是改变了原土地的利用类型。站场占地以农田为主，由于对这些土地的永久占用，将造成当地耕地数量的减少。然而，相对于全线施工扰动面积而言，永久占地面积很少，对当地土地利用的影响较小。另外，站场建设将形成永久性建筑物，局部原生态景观彻底改变。但是从整体来看对景观的生态格局影响不大</w:t>
      </w:r>
    </w:p>
    <w:p>
      <w:pPr>
        <w:keepNext w:val="0"/>
        <w:keepLines w:val="0"/>
        <w:widowControl/>
        <w:suppressLineNumbers w:val="0"/>
        <w:ind w:left="0" w:leftChars="0" w:firstLine="0" w:firstLineChars="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5.1.1.2.5 施工便道建设</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本工程新建施工便道 3.52km，改扩建 5.24km，路基宽度 4.5m，路面宽度3m，连接堆管场各工区至现有可利用公路，以满足本工程施工交通要求。施工道路临时占地 2.82hm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，使用结束后 将及时迹地恢复。</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本输气管道项目施工道路主要依托乡村道路，仅针对局部深丘、低山地段无道路可利用时新建道路。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1、部分线路为改造原有机耕道，对原有机耕道作适当的路面修补和加固，清理边沟（主要针对道路较宽，路面条件较好，局部通过性低的道路）；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2、改造原有机耕道面修补、加固和加宽，清理边沟（主要针对道路较窄，路基较软，转弯半径较小，必须改建后方可通过重型车辆）；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3、针对局部深丘、低山地段无道路可利用时新建道路；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4、对不能满足运管要求的涵洞、桥梁进行加固或改建。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经统计，本项目施工便道共占地 2.82hm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 xml:space="preserve">，占地类型以耕地、林地、灌木草地 </w:t>
      </w:r>
    </w:p>
    <w:p>
      <w:pPr>
        <w:keepNext w:val="0"/>
        <w:keepLines w:val="0"/>
        <w:widowControl/>
        <w:suppressLineNumbers w:val="0"/>
        <w:jc w:val="left"/>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color w:val="auto"/>
          <w:kern w:val="0"/>
          <w:sz w:val="24"/>
          <w:szCs w:val="24"/>
          <w:lang w:val="en-US" w:eastAsia="zh-CN" w:bidi="ar"/>
        </w:rPr>
        <w:t>及交通用地为主。</w:t>
      </w:r>
      <w:r>
        <w:rPr>
          <w:rFonts w:hint="default" w:ascii="Times New Roman" w:hAnsi="Times New Roman" w:eastAsia="宋体" w:cs="Times New Roman"/>
          <w:b w:val="0"/>
          <w:bCs w:val="0"/>
          <w:color w:val="auto"/>
          <w:kern w:val="0"/>
          <w:sz w:val="24"/>
          <w:szCs w:val="24"/>
          <w:lang w:val="en-US" w:eastAsia="zh-CN" w:bidi="ar"/>
        </w:rPr>
        <w:t>新建的施工便道为临时占地，在施工结束后可以恢复 成原有的土地利用类型.</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5.1.1.2.6 弃渣场工程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经估算，本项目施工弃方总量弃方 20.93 万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（含松方 29.34 万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全部堆弃于弃土场。设置一处弃渣场，其主要弃方产生标段为河道穿越工程、山区施工道路和爬坡段管线工程，故根据项目主要河道穿越点、施工道路集中点和爬坡段分布情况，方案规划弃渣位于或邻近这些标段，以减少弃渣运距。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工程沿线设置1处弃渣场用于弃渣集中堆放防护，项目所设置的弃渣场占地较少，弃渣场临时占地不会对评价区及管线途经区域的土地利用类型产生明显影响。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为减小工程弃渣对生态环境的影响，环评要求建设单位需采取以下措施减缓弃渣带来的生态影响：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1、所有弃渣场必须严格按照“先挡后弃”的原则进行废弃土石方的堆放作业。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2、应该加强施工期的管理，禁止无序的乱堆乱放；堆置过程中，应采取措施对弃方边坡进行防护，防护措施包括草袋或塑料薄膜坡面、干砌石进行渣场坡 脚防护。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堆放前需先将表土进行剥离，将剥离的表土堆放在弃渣场附近，并对表土堆场采取覆盖、洒水和设置围挡等措施，减少堆放期间扬尘对大气环境的影响，同时在表土堆放场周边设置排水沟，按水保要求做好水土保持工作，避免产生新的水土流失。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4、应及时进行土地整理工作，回填表土，根据用地类型进行复垦；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5、如果弃渣以石方为主，植被恢复困难，应该将弃渣前收集弃渣场表土，弃渣后覆盖表土，削坡开级，坡角设挡墙，坡面植草，恢复为原生态。</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6、弃渣结束后，将剥离的表土覆于渣土之上，并播撒草籽进行植被恢复。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7、弃渣场施工时间，应有当地环境保护及相应部门（水利、农业、林业等）的参与，确保环境保护措施的落实，尽量减少对环境的影响和水土流失，弃渣场不占用耕地。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8、施工中严格落实水土保持报告提出的水土保护措施和要求。 </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eastAsia="宋体" w:cs="Times New Roman"/>
          <w:b/>
          <w:bCs/>
          <w:color w:val="auto"/>
          <w:kern w:val="0"/>
          <w:sz w:val="28"/>
          <w:szCs w:val="28"/>
          <w:lang w:val="en-US" w:eastAsia="zh-CN" w:bidi="ar"/>
        </w:rPr>
        <w:t>5.1.1.3 对沿线植被和植物资源的影响分析</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根据工程分析，本工程施工期间的污染主要来自于扬尘，各种机械、车辆排放的废气，以及施工过程中排放的生产和生活污水，还有生产和生活垃圾等固体废物。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(1) 扬尘、废气对植被的影响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工程开发建设中的扬尘、废气是对植被生长产生影响的因素之一，而以扬尘产生的影响为主，扬尘产生的颗粒物质在植物地表以上器官(叶、茎、花和果实)的沉降将对植物产生直接影响。沉降物在植物表面的扬尘以干粉尘、泥膜等形式累积，造成植物表面气孔阻塞，导致气体交换减少，叶片温度升高，光合作用下降，叶片黄化干缩，植物干物质生产受到影响。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一般情况下，大范围内较低浓度的颗粒物慢性沉降不至于对自然生态系统产生不利影响，只有当颗粒物的沉降速率很高时才会造成生态问题，扬尘过程对植物的伤害程度取决于空气中颗粒物浓度、沉降速率以及所处的环境和地形。本工程所在区域多风、少雨、干旱、地形开阔，大气中的扬尘易于扩散；而且管道工程建设过程施工时间短、施工点分散，因此在正常情况下扬尘浓度低，持续时间短，对植被的影响不大。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(2) 施工废水对植被的影响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管道工程施工的整个作业期间都有生活污水产生，但由于作业期短、施工人员分散于各工段，因此产生量较少，基本不会产生不良影响。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(3) 施工废物对植被的影响 </w:t>
      </w:r>
    </w:p>
    <w:p>
      <w:pPr>
        <w:pStyle w:val="2"/>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在管道工程中，管道防腐是不可缺少的一个重要工序，是防止事故发生的主要保护措施；在施工现场对管线进行防腐处理，不可避免地要有一些防腐材料散落在环境中，对土壤和植被产生一定的影响；施工废物和塑料袋、矿泉水瓶等生活垃圾胡乱丢弃会造成白色污染而影响土壤，在大风季节塑料袋被吹挂在植物体上，不仅影响景观，也会影响植物生长；需要加强施工过程管理和对施工人员的环保宣传与教育，减少对环境的影响降。</w:t>
      </w:r>
    </w:p>
    <w:p>
      <w:pPr>
        <w:keepNext w:val="0"/>
        <w:keepLines w:val="0"/>
        <w:widowControl/>
        <w:suppressLineNumbers w:val="0"/>
        <w:ind w:left="0" w:leftChars="0" w:firstLine="0" w:firstLineChars="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5.1.1.3.1 工程占地引起的植被生物量损失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管线工程占地会使沿线植被收到破坏。根据本工程特点，管线工程施工期临时性占地面积较大，故本次评价分别给出工程临时占地所引起一次性植被生物量损失情况及永久占地引起的植被生物量损失情况。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1、工程临时占地引起的一次性植被生物量损失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本工程临时占地 37.21hm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；占地类型中，采矿用地 0.09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，住宅用地 0.85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，耕地 27.01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，林地 8.92hm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，草地 0.78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，水域及水利设施用地 1.86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，设施农用地 6.72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。临时占地所引起的一次性植被生物在施工结束后，及时进行植树复垦，能有效缓解生物量的损失。</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总的来看，工程施工期的临时占地对评价范围内植被的影响较大，临时占地主要有弃渣场、施工场地和施工便道等。这些施工临时占地将对植被产生直接的破坏作用，从而使群落的生物多样性降低。施工过程需要修建一些施工便道通往施工场地，如果施工管理不善，对乔木层、灌木层和草本层的破坏明显，将造成植物群落的层次缺失，使群落的垂直结构发生较大改变，直接影响群落的演替，但临时占地影响是短期且可恢复的。</w:t>
      </w:r>
    </w:p>
    <w:p>
      <w:pPr>
        <w:keepNext w:val="0"/>
        <w:keepLines w:val="0"/>
        <w:widowControl/>
        <w:suppressLineNumbers w:val="0"/>
        <w:ind w:left="0" w:leftChars="0" w:firstLine="0" w:firstLineChars="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 5</w:t>
      </w:r>
      <w:r>
        <w:rPr>
          <w:rFonts w:hint="default" w:ascii="Times New Roman" w:hAnsi="Times New Roman" w:eastAsia="宋体" w:cs="Times New Roman"/>
          <w:b/>
          <w:bCs/>
          <w:color w:val="auto"/>
          <w:kern w:val="0"/>
          <w:sz w:val="24"/>
          <w:szCs w:val="24"/>
          <w:lang w:val="en-US" w:eastAsia="zh-CN" w:bidi="ar"/>
        </w:rPr>
        <w:t xml:space="preserve">.1.1.3.2 对陆生植物的影响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1、对植物区系和种类的影响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评价区内的植物都是区域内分布广泛的常见种和广布种。工程施工会消除施工区内的植物个体，使相关种类的个体数量减少，但受影响的个体数量非常有限，工程建设不会造成相关区域植物种群数量的明显改变，不会造成植物种类的减少和植物区系的改变。工程运行期间，不会对植物资源造成任何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管道施工期间一次性的干扰和破坏将影响植物的生长和物种多样性。管线竣工土石回填后，周围植物渐次侵入，植被开始恢复。根据生态学观点，管道施工过程是对植被及其生态系统的一次性扰动，这种扰动一旦结束，则由施工形成的次生裸地便开始向顶级植物群落方向演替。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按照生态学理论，管道沿线的植被破坏具有暂时性，一般将随施工完成而终止。根据管线所经地区的土壤、气候等自然条件分析，施工结束后，周围植物渐次侵入，开始恢复演替过程。要恢复植被覆盖，草本最先进入，可能需要 1～2年，灌木侵入需要 5～10 年。采用人工植树种草的措施，可以加快恢复进程，2～3 年恢复草本植被，3～5 年恢复灌木植被，10～15 年恢复乔木植被。沼泽、湿地、草甸地带植被恢复时间约 3～5 年。但是，恢复的含义并非是完全恢复原施工前的植被种类组成和相对数量比例，而只是恢复至种类组成近似，物种多样性指数值近似的状态，但仍有所降低。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管道施工确实对该区域植被造成一定的影响，但总体上不会使评价区内植物群落的种类组成发生变化，也不会造成某一植物种的消失，对区域植被稳定性的破坏较小。首先，本工程属于线性工程，对管线所经过林区的整体生态功能的影响相对较小，被破坏的灌丛和乔木，估计至少需要 5 年(灌丛)或更长(乔木)的时可以逐渐恢复。其次，从植物种类来看，在施工期作业场地范围内被破坏或影响的植物均为广布种和常见种，且分布也较均匀。施工结束后，通过复垦、恢复植被、补偿等措施，评价范围内被破坏的人工植被可以得到有效的恢复。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5.1.1.4 对野生动物的影响分析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5.1.1.4.1 对野生动物的影响分析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从本工程活动对动物影响来看，本工程在管道施工期间由于车辆机具的运行及施工人员的活动等，会对管道所在地区的野生动物特别是第一类适应顶极群落的动物产生惊扰而使其躲避或暂时迁移。因此第一类适应顶级群落的动物可以避开施工干扰区，从而减小对其的影响；施工地段的阻隔也可能使一些陆行动物暂时失去迁移行走的通道，但通过调查，未发现横穿管线的重要动物通道；同时，本工程施工是分段进行的，就某一段来讲，施工期一般只有 1～3 个月，施工完毕即可恢复正常，不会影响动物存活及种群数量，施工过程中，人为干扰如施工人员滥捕乱猎等现象的出现，将直接影响到这一地区的某些野生动物种群数量。这种影响可通过加强对施工人员的宣传教育和管理得到消除。</w:t>
      </w:r>
    </w:p>
    <w:p>
      <w:pPr>
        <w:keepNext w:val="0"/>
        <w:keepLines w:val="0"/>
        <w:widowControl/>
        <w:suppressLineNumbers w:val="0"/>
        <w:ind w:left="0" w:leftChars="0" w:firstLine="480" w:firstLineChars="200"/>
        <w:jc w:val="left"/>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施工活动将对动物的生境造成一定破坏，施工区域内自然植被的破坏，会使一些野生动物失去小量觅食地、栖息场所和活动区域，但由于工程建设区域的主要植被类型为农田、受人类活动干扰的灌丛、灌草丛和沼泽湿地植被，且施工带的面积占森林区域面积很小，所以生境破坏不会对动物的生存和繁殖造成明显影响；同时，工程影响是短期的，施工结束后将进行土地复垦和植被恢复，多数动物有重返原有生存环境的条件和可能。另一方面，由于在森林景观制造的这一施工廊道，在其植被恢复后产生的边缘效应，会导致廊道内生物多样性的增加，甚至会对野生动物的生存环境产生有利影响。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5.1.1.4.2 对两栖爬行类动物的影响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两栖爬行动物一般在冬季冬眠，或经历一段休眠期，在物种的出现和行为方面表现出季节性。由于本工程管沟开挖、敷设活动的施工期多集中在寒冷季节，在管沟的开挖过程中，遇到两栖爬行动物的几率较小，对其直接造成的损害几乎没有，只要注意施工时减少对水泡、水塘等生境的破坏，就能降低对两栖爬行动物的影响范围。由于两栖爬行类在评价区范围内种类不多，分布数量较少，故管道工程施工对其影响较小。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5.1.1.4.3 对鸟类的影响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工程活动对鸟类的影响主要表现在以下几个方面：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在施工过程中，管线穿越林地时，施工场地将在林地中形成干扰走廊，影响到野生动物的迁移与觅食，施工的噪音影响野生动物的栖息，期间鸟类纷纷逃离施工现场，飞迁到周围隐蔽安全区域生活；如在夜晚施工，灯光也会影响到鸟类的栖息，甚至影响到候鸟的迁移等；堆放的生活垃圾以及废弃物也对野生鸟类的生存产生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（2）工程施工时，施工人员对野生鸟类可能的捕杀会影响到鸟类的种类与数量，甚至会影响珍稀野生动物种类的存在。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（3）施工期如处在野生鸟类的繁殖季节，则会影响到野生鸟类的生殖繁衍。但施工期一般只有 2～4 个月，只要加强管理，工程对鸟类的影响是可控的。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5.1.1.4.4 对水生生物的影响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定向钻等施工方式对河流水体没有扰动，因此定向钻等施工方式不会对水生生物造成影响。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大开挖穿越河流会暂时性阻断河流，增加水质的混浊度，影响水生生物的生存环境等，但是这种影响是暂时的，施工结束后能够恢复到原有状况，因此对水生生物的影响较小。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1、对浮游生物的影响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施工排污影响浮游生物(藻类和浮游动物)。施工期生活污水、生活垃圾、管道安装完后清管和试压过程排放的废水、施工机械机修及工作时油污跑冒滴漏产生的含油污水等的排放必然会对水质产生一定程度的污染，造成浮游生物种类组成和优势度的变化。另外，路面开挖后裸露的土石，工程的弃土弃渣，在雨水冲刷下形成路面径流也会进入水体，这些施工材料将会导致水体浑浊，破坏浮游生物的生长环境。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2、对底栖动物的影响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水体底层为富含有机质的泥炭层，施工期水体底泥被搅动、搬运或疏挖后，底栖动物也将随底泥的取走而死亡或迁移</w:t>
      </w:r>
      <w:r>
        <w:rPr>
          <w:rFonts w:hint="eastAsia" w:ascii="Times New Roman" w:hAnsi="Times New Roman" w:cs="Times New Roman"/>
          <w:color w:val="auto"/>
          <w:kern w:val="0"/>
          <w:sz w:val="24"/>
          <w:szCs w:val="24"/>
          <w:lang w:val="en-US" w:eastAsia="zh-CN" w:bidi="ar"/>
        </w:rPr>
        <w:t>他</w:t>
      </w:r>
      <w:r>
        <w:rPr>
          <w:rFonts w:hint="default" w:ascii="Times New Roman" w:hAnsi="Times New Roman" w:eastAsia="宋体" w:cs="Times New Roman"/>
          <w:color w:val="auto"/>
          <w:kern w:val="0"/>
          <w:sz w:val="24"/>
          <w:szCs w:val="24"/>
          <w:lang w:val="en-US" w:eastAsia="zh-CN" w:bidi="ar"/>
        </w:rPr>
        <w:t>地。施工期间由于各种原因造成了对河流、水库的水质的破坏，而蜉蝣目幼虫、毛翅目幼虫和鞘翅目幼虫均为适应栖息于较洁净水体的物种，污染必然造成此类物种的减少。施工结束后一些耐污抗低氧的底层生物如摇蚊类幼虫较快能够得到恢复，但短期内不会出现软体动物。</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当水生植物有所恢复后，吸附水草生活的虾、螺会逐渐增多，大型底栖动物也可望得到恢复。因沿线水生底栖动物在附近其它地区相似的环境中亦有分布，并非是本地区的特有种，从物种保护的角度看，工程的建设不会导致这些物种的消亡。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3、对鱼类的影响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施工使水质受到一定程度破坏，浮游生物、底栖动物等饵料生物量的减少改变了原有鱼类的生存、生长和繁衍条件，鱼类将择水而栖迁到其它地方，施工区域鱼类密度显著降低。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施工期在水下作业时，搅动水体和河床底泥，局部范围内破坏了鱼类的栖息地，对鱼类有驱赶作用，也会使鱼类远离施工现场，迁到其他地方，使施工区域鱼类密度显著降低。鱼类等水生生物生存空间的减少导致食物竞争加剧，致使种间和种内竞争加剧，鱼类的种群结构和数量都会发生一定程度的变化而趋于减少。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管道沿线的鱼类组成以鲤科鱼种类最多、分布最广。河流中分布着山鳅、中华沙鳅、泥鳅、青鱼、草鱼、鲢、鲫鱼、鲤鱼、唇鱼骨、棒花鱼、岩原鲤、黄鳝等。管道工程穿越东河。根据现场调查，本管道工程穿越上述河流段不涉及“鱼类三场”，环评要求应将穿越河流工程施工时间选择在枯水季节，并加快管道穿越河流的施工速度，施工对水体的影响较小，故对鱼类产生的影响很小。</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5.1.2 营运期对生态环境的影响 </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5.1.2.1 对沿线景观生态环境的影响 </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本项目永久性工程占地面积相对较小，主要为站场、阀室等设施占地，为沿线区域新增景观结构单元。此外，沿线两侧各 5m 范围内的林地段施工结束后，原有林地景观类型发生变化。本项目施工结束后，沿线工程扰动区内的农田可恢复农业生产。 </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总体而言，本项目输气管线敷设在地下，进行密闭输送，运营后沿线工程扰动区域内的原有人工植被及自然植被逐渐恢复，对沿线区域景观生态环境影响相对较小</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5.1.2.2 对沿线动植物的影响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线性工程营运期对动植物的影响从景观生态功能和生态关系角度分析，输气管线等线性工程建设会对沿线工程扰动区域地表及其周围一定范围区域造成一定的景观隔离；但从生物传播关系来看，这种隔离作用仅限于对土壤微生物及以根系作为传播途径的植物的影响，对以花粉、种子为传播途径的植物以及动物的生态隔离影响较小。从生态系统中的食物链关系以及更广范围的生物互惠关系来看，由于建设过程持续时间较短，项目在区域总面积中所占比重较小，其影响较小。因此项目的建设对沿线的动植物影响较小。</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5.1.3对生态系统结构完整性和功能连续性的影响分析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拟建管道沿线区域主要植被类型为林地、灌草丛和农田植被。构成这些植被类型的种类为适应该区域的物种，具有种群数量大、适应性强的特点。项目建设过程及建成后会占用一定面积的林地、灌木草地及耕地，会减少部分植被类型的分布面积，但不会造成沿线植被类型分布状况和植物群落结构的改变。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对于森林植被而言，呈带状分布的施工作业不会阻隔植物的散布。植物通过花粉流仍能进行基因交流，种子生产和种子库更新等过程也不会被打断，因此，现有植物群落的物种组成不会因此发生改变，生物多样性也不会受较大的影响。由不同植物群落组成的生态系统结构也不会发生改变，生态系统的物质循环和能量流动及其中的生态关系仍能延续。项目建设征占的林地面积较小，因此对其生态效能影响不大。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对于农田生态系统而言，水稻、小麦、玉米、马铃薯及蔬菜等农作物均为常见的物种，因此不会改变农田生态系统的结构和功能。同时，根据国家基本农田保护政策，占补平衡，项目占用的耕地可通过土地整治等手段予以补偿，区域内的耕地数量将保持不变，因此，农田生态系统的持续生产能力不会下降，系统的运行连续性不会破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综上所述，本区域内绝大部分的植被面积和植被类型没有发生变化，亦即对本区域生态环境起控制作用的组分未变动，生境的异质性没有发生大的改变，因此，项目建设不会改变现有生态系统的完整性和功能的连续性。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5.1.4 对景观生态体系的影响分析</w:t>
      </w:r>
    </w:p>
    <w:p>
      <w:pPr>
        <w:keepNext w:val="0"/>
        <w:keepLines w:val="0"/>
        <w:widowControl/>
        <w:suppressLineNumbers w:val="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kern w:val="0"/>
          <w:sz w:val="24"/>
          <w:szCs w:val="24"/>
          <w:lang w:val="en-US" w:eastAsia="zh-CN" w:bidi="ar"/>
        </w:rPr>
        <w:t xml:space="preserve">本项目修建后土地利用格局发生了变化，其中建筑用地拼块因管道永久性工程（站场、阀室、三桩等）的修筑使其重要性提高，其优势度值由建成前的 14.25%上升到 14.64%。林地、耕地、灌草地、水域的优势度值有所减少，其中耕地优势度值从 46.57%降低到 44.23%，减少了 0.34%；林地的优势度值从 62.06%降低到 59.33%，减少了 2.73%；灌草地的优势度值从 60.83%降低到 57.51%，减少了 3.32%；水域的优势度值从 15.93%降低到 15.49%，减少了 0.44%。建设前，区域内以建设用地及其他用地的优势度占优势，建设后，仍然为评价区内的景观模地。故工程实施和运行使评价区景观均匀度有所变化，但是对评价区自然体系的景观格局影响不大。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5.1.5 生态环境影响减缓措施及防治对策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5.1.5.1 总体措施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线路走向应尽量避免占用林地、灌丛、天然草地、基本农田等植被较好的地段，尽量避免穿越自然保护区、湿地等生态敏感地段，尽量不要影响或破坏现有的农田水利设施和水土保持设施。要采取尽量少占地、少破坏植被的原则，并将临时占地面积控制在最低限度，以免造成土壤与植被的大面积破坏，将项目建设对现有植被和土壤的影响控制在最低限度。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2、施工中应加强施工管理，尽量缩小施工范围，各种施工活动应格控制在施工区域内，尽可能地不破坏原有的地表植被和土壤。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3、对于临时占地和新开辟的临时便道等破坏区，竣工后应按照国务院《土地复垦规定》进行土地复垦和植被重建工作。凡受到施工车辆、机械破坏的地方均要进行土地平整，保持地表原有的稳定状态。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4、合理安排施工期时间，避开雨季等易引发自然、地质环境灾害等自然气象条件。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5、应加强对施工人员生态环境保护意识的教育，严禁在规定的施工范围外随意砍伐树木。制作宣传画册，教育施工人员认识相关保护动物和植物。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6、对于拟永久使用的伴行道以及各场站、生产生活设施等，建设完成后，应在其周围进行绿化，绿化树种选择合适的乡土树种，以减少水土流失。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7、新建或整修的施工与巡线道路，应仅以满足施工、巡线与抢险需要为准，并应加强管理，避免因道路开通引发对林区的树木砍伐和资源滥采。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8、在农田段施工时，要尽量避开农作物生长季节，以减少农业生产损失。施工完毕后，作好现场清理、恢复工作，包括田埂、农田水利设施等。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9、熟化土壤的保护和利用：耕作层土壤和表层土壤是经过多年耕作和植物作用而形成的熟化土壤，是深层生土所不能替代的，对于植物种子的萌发和幼苗的生长有着重要作用。因此，在土壤较肥沃的地段建设永久性设施时，要保护和利用好表层的熟化土壤(主要为 0cm～30cm 的土层)。为此，在施工前，首先要把表层的熟化土壤尽可能地推到合适的地方并集中起来；待施工结束后，再施用到要进行植被建设的地段，使其得到充分、有效的利用。</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10、妥善处理施工期产生的各类污染物、生活垃圾等，要进行统一集中处理，不得随意弃置。施工结束后，要进行现场清理，采取恢复措施。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11、施工期应加强对施工人员生态环境保护意识的教育，严禁对周围林、灌木进行滥砍滥伐、破坏野生动物的栖息环境，严禁对野生动物的滥捕滥杀。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12、施工过程中，发现有野生动物的繁殖地时，应尽量避开，不得干扰和破坏野生动物的栖息、活动场所。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13、在保护区附近施工时，应避开保护区内野生动物(主要是鸟类)的繁殖季节，并且要集中快速，尽量缩短施工时间。尽量避免在夜间施工，以免噪声和灯光影响林区内鸟类的正常休息、睡眠</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5.1.5.2 林区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1、加强对施工人员及施工活动的管理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（1）施工过程中，加强对施工人员的管理，禁止施工人员对植被滥砍滥伐，严格限制人员的施工活动范围。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（2）管道通过林区段时，工程施工将占用林地和砍伐树木，应事先向林</w:t>
      </w:r>
      <w:r>
        <w:rPr>
          <w:rFonts w:hint="default" w:ascii="Times New Roman" w:hAnsi="Times New Roman" w:cs="Times New Roman"/>
          <w:color w:val="auto"/>
          <w:kern w:val="0"/>
          <w:sz w:val="24"/>
          <w:szCs w:val="24"/>
          <w:lang w:val="en-US" w:eastAsia="zh-CN" w:bidi="ar"/>
        </w:rPr>
        <w:t>建设单位</w:t>
      </w:r>
      <w:r>
        <w:rPr>
          <w:rFonts w:hint="default" w:ascii="Times New Roman" w:hAnsi="Times New Roman" w:eastAsia="宋体" w:cs="Times New Roman"/>
          <w:color w:val="auto"/>
          <w:kern w:val="0"/>
          <w:sz w:val="24"/>
          <w:szCs w:val="24"/>
          <w:lang w:val="en-US" w:eastAsia="zh-CN" w:bidi="ar"/>
        </w:rPr>
        <w:t xml:space="preserve">管部门申报，并进行合理的赔偿。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（3）施工便道选择尽量避开林带，以林带空隙地为主，尽可能不破坏原有地形、地貌。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2、施工后的植被恢复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根据《中华人民共和国石油天然气管道保护法》的规定：在管道线路中心线两侧各五米地域范围内，禁止种植乔木、灌木、藤类、芦苇、竹子或者其他根系深达管道埋设部位可能损坏管道防腐层的深根植物。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（2）施工结束后，施工便道两侧裸露的地面，采取播撒草籽、栽植花、草、种植灌木等措施恢复植被</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5.1.5.3 农业区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（1）将农业损失纳入到工程预算中，管道通过农业、牧业区时，尤其是占用耕地、果园、菜地、粮棉油地等经济农业区时应尽量缩小影响范围，减少损失，降低工程对农业生态环境的干扰和破坏。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（2）本项目所涉及的永久占地和临时占地都应按有关土地管理办法的要求，逐级上报有审批权的政府部门批准，对于永久占地，应纳入地方土地利用规划中，并按有关土地管理部门要求认真执行。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（3）本项目所涉及的永久占地和临时占地都应按有关土地管理办法的要求，逐级上报有审批权的政府部门批准，对于永久占地，应纳入地方土地利用规划中，并按有关土地管理部门要求认真执行。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根据《基本农田保护条例》，非农业建设经批准占用基本农田的，按照保持耕地面积动态平衡，应“占多少、垦多少”，没有条件开垦或开垦耕地不符合要求的应按国家及四川省的相关规定缴纳耕地开垦费，专款用于开垦新耕地。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（5）对于永久占地，根据《基本农田保护条例》的要求，将所占耕地的耕作层土壤用于新开垦耕地、劣质地或其他耕地的土壤改良。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6）通过向沿线相关的土地管理部门了解，得知对于工程永久占用的基本农田，应按照规定程序办理征地手续，并交纳基本农田开发补偿费，同时缴纳基本农田建设基金。以上所交纳费用，专门用于耕地开发和农田建设。土地管理部门将在以后的土地利用规划中对基本农田的分布进行相应的调整，以确保基本农田数量不减少。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（7）根据当地农业活动特点，因地制宜地选择施工季节，尽量避开农作物的生长期和收获期，以减少农业当季损失。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（8）提高施工效率，缩短施工时间，同时采取边铺设管道边分层覆土的措施，减少裸地的暴露时间，保持耕作层肥力，缩短农业生产季节的损失。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9）管道施工中要采取保护表层土壤措施，对农业熟化土壤要分层开挖，分别堆放，分层回填，减少因施工造成生土上翻、耕层养分损失、农作物减产的后果，回填时还应留足适宜的堆积层，防止因降水、径流造成地表下陷和水土流失。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（10）在施工中应尽量减少对农田防护树木的砍伐，完工后根据不同的地区特点采取植被恢复措施，在农地可种植绿肥作物，加速农业土壤肥力的恢复。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（11）施工完成后做好现场清理及恢复工作，尽可能降低施工对农田生态系统带来的不利影响。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（12）处理好管道与农田水利工程的关系，尽可能减少对排灌渠道的破坏，管道经过坡地时要增设护坡堤，防止坍塌造成的滑坡等，并结合修筑梯田等工程措施，加速生态环境恢复。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（13）在施工时，应避免农田基础设施受碾压而失去正常使用功能，导致灌溉区受益范围内农作物生长受影响。</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5</w:t>
      </w:r>
      <w:r>
        <w:rPr>
          <w:rFonts w:hint="default" w:ascii="Times New Roman" w:hAnsi="Times New Roman" w:cs="Times New Roman"/>
          <w:b/>
          <w:bCs/>
          <w:color w:val="auto"/>
          <w:kern w:val="0"/>
          <w:sz w:val="24"/>
          <w:szCs w:val="24"/>
          <w:lang w:val="en-US" w:eastAsia="zh-CN" w:bidi="ar"/>
        </w:rPr>
        <w:t>.</w:t>
      </w:r>
      <w:r>
        <w:rPr>
          <w:rFonts w:hint="default" w:ascii="Times New Roman" w:hAnsi="Times New Roman" w:eastAsia="宋体" w:cs="Times New Roman"/>
          <w:b/>
          <w:bCs/>
          <w:color w:val="auto"/>
          <w:kern w:val="0"/>
          <w:sz w:val="24"/>
          <w:szCs w:val="24"/>
          <w:lang w:val="en-US" w:eastAsia="zh-CN" w:bidi="ar"/>
        </w:rPr>
        <w:t xml:space="preserve">1.5.4 渣场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1、土地整治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项目建设完成后，对取土、弃渣面占地范围内的施工迹地进行土地整治，包括回覆表土和全面整地。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2、植物措施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取弃土场施工结束后，进行植被恢复，本工程绿化草种选择适宜的草种有苜蓿、无芒雀麦、星星草、白花草木樨。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3、临时防护措施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（1）临时截（排）水沟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临时排水沟主要用于施工过程中的临时截、排水，主要布设在站场施工区周围、管线铺设两侧、临时施工场地周边、以及附属配套工程施工施工场地周围。考虑其排水的临时性与过渡性，排水沟多采用土沟形式，断面梯形。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为防止管沟开挖临时堆土和表土被雨水冲刷侵蚀，在临时堆土坡脚处设置袋装土临时拦挡措施，将填装好编织袋呈“品”字形码放成挡墙状置于临时堆土坡脚处，码放高度根据临时堆土高度确定，一般控制在 0.5m 左右，厚度 0.4m。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（3）在临时堆土顶部铺设无纺布，防止雨水冲刷侵蚀，取弃土场区需进行临时苫盖。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5.1.5.5 河流穿越</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项目以定向钻方式穿越东河，其余河流以开挖方式穿越。区域河流的水体功能大部分在Ⅲ类水体以上，工程施工中需特别注意对这些水体功能较高的河流的保护，具体措施如下：</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1、管道施工后被扰动的河流、冲沟岸坡易遭洪水冲刷，管道敷设时，应与岸坡保持一定的距离，在管道两侧修建浆砌块石护岸，避免洪水直接冲刷开挖面。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应选择在河流枯水季节进行，在河床底面应砌干片石，两岸陡坡应设浆砌块石护岸，防止水土流失。3、施工用料堆放应远离水源和其它水体，选择暴雨径流难以冲刷的地方，防止被暴雨径流带入水体；废弃的土石方应堆放在远离水体的指定地点，严禁弃入河道或河滩，於塞河道；施工时所产生的废油及其他废物，严禁倾倒或抛入水体；不得在水体附近清洗施工器具、机械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4、严格控制施工作业面在划定的范围之内，以免对河流造成大面积的破坏，影响生态系统的完整性。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5、含有害物质的建筑材料，如沥青、水泥等不准堆放在水体附近，并应设蓬盖和围栏，防止雨水冲刷进入水体。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6、围堰拆除要求为：管沟回填完成后，先拆除下游围堰，并将围堰土推到河岸边缘，然后拆除上游围堰，上游围堰宜用单斗采用后退方法进行拆除，将堰体土用于回填导流沟，或根据环保或水利部门要求外运或另行处理。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7、隧道施工竖井的占地不应随意扩大，隧道弃渣应选择合适的地点堆弃，不应阻碍河道行洪，同时避免水土流失。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8、定向钻施工泥浆应循环使用，泥浆池宜设在河床外背水一侧，并禁止将废弃的泥浆直接排入河道，施工结束后，应对泥浆进行固化后填埋处理。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9、施工结束后，应将各种垃圾和多余的填方土运走，保持原有地表高度，恢复河床原貌，以保护水生生态系统的完整性。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5.1.5.6 道路修建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1、开工前，施工单位对临时施工道路进行严格的规划，以达到既方便施工，又少占农田、林地、草场的目的。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要严格按设计规定进行取、弃土，并规定施工车辆的行驶便道，以防施工车辆在有植被的地方任意行驶。对取、弃料场与设计不符的要根据实际情况指定取、弃土地点，进行规则的取、弃，防止乱挖、乱弃。有草皮的地段,挖除的草皮没有乱弃，用于边坡防护或取土坑的复垦。基岩山区施工时，严格按设计的弃渣场堆放弃渣，并先修筑拦挡措施或采取临时拦挡措施(如堆石护坡脚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3、对于边施工、边维持通车的路段，各工序配合紧密，以防社会车辆在有植被的地段任意行驶。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4、对于挖方边坡、土质边沟、截水沟等按规定的坡度、尺寸完成，并且外形整齐美观，坡面平整、稳定，不允许在挖方边坡坡顶弃方，以防发生进一步的水土流失。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5、对于道路临时占地，应在施工结束后及时采取措施,尽快恢复原貌；对于道路永久占地，应采取路旁建绿化带或异地的措施，即另选相同面积的土地进行植被恢复，以弥补植被损失。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6、整个工程完工后，要对生活垃圾做好彻底的清理工作</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5.1.5.7 站场绿化 </w:t>
      </w:r>
    </w:p>
    <w:p>
      <w:pPr>
        <w:keepNext w:val="0"/>
        <w:keepLines w:val="0"/>
        <w:widowControl/>
        <w:suppressLineNumbers w:val="0"/>
        <w:ind w:left="0" w:leftChars="0" w:firstLine="480"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场站属于重点防火区，按照规范化要求，在草、树种的选择上，选择乡土种，要避免选择防火期内易燃草、树种</w:t>
      </w:r>
      <w:r>
        <w:rPr>
          <w:rFonts w:hint="default" w:ascii="Times New Roman" w:hAnsi="Times New Roman" w:eastAsia="宋体" w:cs="Times New Roman"/>
          <w:color w:val="auto"/>
          <w:sz w:val="24"/>
          <w:szCs w:val="24"/>
          <w:lang w:eastAsia="zh-CN"/>
        </w:rPr>
        <w:t>。</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cs="Times New Roman"/>
          <w:b/>
          <w:bCs/>
          <w:color w:val="auto"/>
          <w:kern w:val="0"/>
          <w:sz w:val="24"/>
          <w:szCs w:val="24"/>
          <w:lang w:val="en-US" w:eastAsia="zh-CN" w:bidi="ar"/>
        </w:rPr>
        <w:t>5</w:t>
      </w:r>
      <w:r>
        <w:rPr>
          <w:rFonts w:hint="default" w:ascii="Times New Roman" w:hAnsi="Times New Roman" w:eastAsia="宋体" w:cs="Times New Roman"/>
          <w:b/>
          <w:bCs/>
          <w:color w:val="auto"/>
          <w:kern w:val="0"/>
          <w:sz w:val="24"/>
          <w:szCs w:val="24"/>
          <w:lang w:val="en-US" w:eastAsia="zh-CN" w:bidi="ar"/>
        </w:rPr>
        <w:t xml:space="preserve">.1.6小结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（1）本工程总占地 46.23hm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，其中永久占地 55500m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，，临时占地 37.21hm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vertAlign w:val="baseline"/>
          <w:lang w:val="en-US" w:eastAsia="zh-CN" w:bidi="ar"/>
        </w:rPr>
        <w:t>，</w:t>
      </w:r>
      <w:r>
        <w:rPr>
          <w:rFonts w:hint="default" w:ascii="Times New Roman" w:hAnsi="Times New Roman" w:eastAsia="宋体" w:cs="Times New Roman"/>
          <w:color w:val="auto"/>
          <w:kern w:val="0"/>
          <w:sz w:val="24"/>
          <w:szCs w:val="24"/>
          <w:lang w:val="en-US" w:eastAsia="zh-CN" w:bidi="ar"/>
        </w:rPr>
        <w:t xml:space="preserve">项目占用的土地类型有耕地、林地、园地、灌木草丛、水域、建设用地、交通运输用地等；整体而言，永久占地不会对评价区的主要构成地类造成大的改变，不会对评价区的土地利用格局造成显著影响。临时占地所造成的影响是短期的，局部的，不会对评价区的土地利用性质和功能、土壤的理化性质、土地利用格局等造成显著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（2）工程施工期将造成农田生产量损失 1895.66t/a，占评价区农田生产总量的 2.1%。工程结束后，随着耕地的恢复，农田生产量将逐步恢复，永久占地造成农田生产量的损失为215.75t/a，占评价区农田生产总量的 0.24%。工程占地会对当地农业生产造成一 定程度的不利影响，但工程占地区耕地后备资源充足，且永久用的耕地面积相对较小，因此工程占地对耕地资源影响较小。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（3）工程占地影响到的自然植被类型有半湿润常绿阔叶林、暖温性针叶林、稀树灌木草丛、农田植被、水生植被等，破坏植被面积 363.63hm</w:t>
      </w:r>
      <w:r>
        <w:rPr>
          <w:rFonts w:hint="default" w:ascii="Times New Roman" w:hAnsi="Times New Roman" w:eastAsia="宋体" w:cs="Times New Roman"/>
          <w:color w:val="auto"/>
          <w:kern w:val="0"/>
          <w:sz w:val="16"/>
          <w:szCs w:val="16"/>
          <w:lang w:val="en-US" w:eastAsia="zh-CN" w:bidi="ar"/>
        </w:rPr>
        <w:t>2</w:t>
      </w:r>
      <w:r>
        <w:rPr>
          <w:rFonts w:hint="default" w:ascii="Times New Roman" w:hAnsi="Times New Roman" w:eastAsia="宋体" w:cs="Times New Roman"/>
          <w:color w:val="auto"/>
          <w:kern w:val="0"/>
          <w:sz w:val="24"/>
          <w:szCs w:val="24"/>
          <w:lang w:val="en-US" w:eastAsia="zh-CN" w:bidi="ar"/>
        </w:rPr>
        <w:t xml:space="preserve">（含人工植被及水生植物），占评价区自然植被总面积的 2.98%。本项目占地造成的生物量损失约 4068.88tC，约占评价区内植被自然生产力的 2.58%。其中一次性植被生物量损失约 3787.16tC，约占评价区内植被自然生产力的 2.40%，这部分损失在施工结束后的 2~3 年内可以得到一定程度的恢复；永久性损失量约 281.72tC，约占评价区内植被自然生产力的 0.18%。整体而言，减少的植被面积占评价区同类植被面积的比例较小，工程建设不会造成任何一种植被类型在评价区内消失；临时占地主要在施工期间造成水土流失，随着输气管线绿化工程和水土保持工程措施的实施，这些影响将有所减轻。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（5）工程施工会消除施工区内的植物个体，但不会造成植物种类的减少和植物区系的改变。多数为人工栽培植物，且管线施工作业带两侧 100m 内未发现有保护植物分布，工程建设不会对保护植物的种类、数量产生影响。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6）在输气管道工程施工和运营将破坏占地附近陆栖脊椎动物原有的栖息环境、取食地和巢穴等，大多数陆栖脊椎动物具有趋避的本能，只要项目区以外的环境不遭破坏，施工人员不对它们直接捕杀，项目建设对当地动物的多样性及各动物种群均不会有明显的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（7）管道的穿越工程会对农田、森林、河流及道路景观产生一定的影响，且主要集中于施工期，运营期随着植被的恢复和景观的重建，对景观的影响也会随之减弱至消失。</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sz w:val="28"/>
          <w:szCs w:val="28"/>
        </w:rPr>
      </w:pPr>
      <w:r>
        <w:rPr>
          <w:rFonts w:hint="default" w:ascii="Times New Roman" w:hAnsi="Times New Roman" w:eastAsia="宋体" w:cs="Times New Roman"/>
          <w:b/>
          <w:bCs/>
          <w:color w:val="auto"/>
          <w:kern w:val="0"/>
          <w:sz w:val="28"/>
          <w:szCs w:val="28"/>
          <w:lang w:val="en-US" w:eastAsia="zh-CN" w:bidi="ar"/>
        </w:rPr>
        <w:t xml:space="preserve">5.2 大气环境影响评价 </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5.2.1 施工期大气环境影响分析 </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5.2.1.1 施工期大气污染物 </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kern w:val="0"/>
          <w:sz w:val="24"/>
          <w:szCs w:val="24"/>
          <w:lang w:val="en-US" w:eastAsia="zh-CN" w:bidi="ar"/>
        </w:rPr>
        <w:t>本项目站场及管线施工过程中造成大气污染的主要产生源有：施工过程中产生的扬尘，各类施工机械和运输车辆所排放的废气，废气中的主要污染物为 SO2、NO2 等，管道现场焊接过程中产生的焊接烟尘。其中，施工扬尘所形成的环境空气影响为主要因素。项目站场及管线施工过程中扬尘影响主要产生在 3个环节：土方挖掘产生的扬尘、露天堆场和裸露场地风力扬尘、运输车辆行驶动力起尘，其中扬尘（粉尘）主要产生于管沟的地面开挖、填埋和土石方堆放</w:t>
      </w:r>
      <w:r>
        <w:rPr>
          <w:rFonts w:hint="eastAsia" w:ascii="Times New Roman" w:hAnsi="Times New Roman" w:cs="Times New Roman"/>
          <w:color w:val="auto"/>
          <w:kern w:val="0"/>
          <w:sz w:val="24"/>
          <w:szCs w:val="24"/>
          <w:lang w:val="en-US" w:eastAsia="zh-CN" w:bidi="ar"/>
        </w:rPr>
        <w:t>。</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5.2.1.2 施工期大气环境影响分析</w:t>
      </w:r>
      <w:r>
        <w:rPr>
          <w:rFonts w:hint="default" w:ascii="Times New Roman" w:hAnsi="Times New Roman" w:eastAsia="宋体" w:cs="Times New Roman"/>
          <w:b/>
          <w:bCs/>
          <w:color w:val="auto"/>
          <w:kern w:val="0"/>
          <w:sz w:val="28"/>
          <w:szCs w:val="28"/>
          <w:lang w:val="en-US" w:eastAsia="zh-CN" w:bidi="ar"/>
        </w:rPr>
        <w:t xml:space="preserve">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1、施工期扬尘影响分析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施工扬尘的起尘量与许多因素有关，如挖土机等在工作时的起尘量与挖坑深度、挖土机抓斗与地面的相对高度、风速、土壤的颗粒度、土壤含水量等有关。对于渣土堆场而言，起尘量还与堆放方式、起动风速及堆场有无防护措施等有关。在相关影响因素中，起尘量受风力的影响因素最大，随着风速的增大，施工扬尘 （粉尘）的污染程度和超标范围也将随之增强和扩大。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管道及站场的地面开挖、填埋、土石方堆放过程为分段进行，在同一地点施工时间较短，作业带内产生的扬尘（粉尘）为无组织面源排放，本项目施工区地 形主要为平原、丘陵等地施工。根据类似工程的实际现场调查：在大风情况下施工现场下风向 1m 处扬尘浓度可达 3mg/m</w:t>
      </w:r>
      <w:r>
        <w:rPr>
          <w:rFonts w:hint="default" w:ascii="Times New Roman" w:hAnsi="Times New Roman" w:eastAsia="宋体" w:cs="Times New Roman"/>
          <w:color w:val="auto"/>
          <w:kern w:val="0"/>
          <w:sz w:val="16"/>
          <w:szCs w:val="16"/>
          <w:lang w:val="en-US" w:eastAsia="zh-CN" w:bidi="ar"/>
        </w:rPr>
        <w:t xml:space="preserve">3 </w:t>
      </w:r>
      <w:r>
        <w:rPr>
          <w:rFonts w:hint="default" w:ascii="Times New Roman" w:hAnsi="Times New Roman" w:eastAsia="宋体" w:cs="Times New Roman"/>
          <w:color w:val="auto"/>
          <w:kern w:val="0"/>
          <w:sz w:val="24"/>
          <w:szCs w:val="24"/>
          <w:lang w:val="en-US" w:eastAsia="zh-CN" w:bidi="ar"/>
        </w:rPr>
        <w:t>以上，25m 处为 1.53mg/m</w:t>
      </w:r>
      <w:r>
        <w:rPr>
          <w:rFonts w:hint="default" w:ascii="Times New Roman" w:hAnsi="Times New Roman" w:eastAsia="宋体" w:cs="Times New Roman"/>
          <w:color w:val="auto"/>
          <w:kern w:val="0"/>
          <w:sz w:val="16"/>
          <w:szCs w:val="16"/>
          <w:lang w:val="en-US" w:eastAsia="zh-CN" w:bidi="ar"/>
        </w:rPr>
        <w:t>3</w:t>
      </w:r>
      <w:r>
        <w:rPr>
          <w:rFonts w:hint="default" w:ascii="Times New Roman" w:hAnsi="Times New Roman" w:eastAsia="宋体" w:cs="Times New Roman"/>
          <w:color w:val="auto"/>
          <w:kern w:val="0"/>
          <w:sz w:val="24"/>
          <w:szCs w:val="24"/>
          <w:lang w:val="en-US" w:eastAsia="zh-CN" w:bidi="ar"/>
        </w:rPr>
        <w:t xml:space="preserve">，下风向60m 范围内 TSP 浓度超标。但由于施工过程为分段进行，施工时间较短，在严格执行分层开挖、分层回填的操作制度、避免长距离施工、工程措施与生物措施相结合的条件下，总体而言，管线施工作业扬尘污染是短时的，且影响不会很大，各大气保护目标在管线施工期内会受到施工扬尘的影响较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施工阶段汽车运输过程中，也会产生扬尘污染。扬尘量、粒径大小等与多种 因素有关，如路面状况、车辆行驶速度、载重量、天气情况等。其中风速、风向 等天气状况直接影响扬尘的传输方向和距离。由于汽车运输过程中产生的扬尘时间短、扬尘落地快、影响范围主要集中在运输道路两侧，而各大气保护目标与施 工场地距离 80m 以上，故汽车运输扬尘对周边的环境空气影响程度和范围较小，影响时间也较短。如果采用硬化道路、道路定时撒水抑尘、车辆不要装载过满并 采取密闭或遮盖措施，可大大减少运输扬尘对周围环境空气的影响。根据类比监测分析，运输车辆扬尘其影响范围主要集中在运输路线两侧 50m 内。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2、施工机械尾气影响分析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施工期间，运输汽车、公路和河流穿越等施工中，由于使用柴油机等设备，将产生燃烧烟气，主要污染物为 SO</w:t>
      </w:r>
      <w:r>
        <w:rPr>
          <w:rFonts w:hint="default" w:ascii="Times New Roman" w:hAnsi="Times New Roman" w:eastAsia="宋体" w:cs="Times New Roman"/>
          <w:color w:val="auto"/>
          <w:kern w:val="0"/>
          <w:sz w:val="16"/>
          <w:szCs w:val="16"/>
          <w:lang w:val="en-US" w:eastAsia="zh-CN" w:bidi="ar"/>
        </w:rPr>
        <w:t>2</w:t>
      </w:r>
      <w:r>
        <w:rPr>
          <w:rFonts w:hint="default" w:ascii="Times New Roman" w:hAnsi="Times New Roman" w:eastAsia="宋体" w:cs="Times New Roman"/>
          <w:color w:val="auto"/>
          <w:kern w:val="0"/>
          <w:sz w:val="24"/>
          <w:szCs w:val="24"/>
          <w:lang w:val="en-US" w:eastAsia="zh-CN" w:bidi="ar"/>
        </w:rPr>
        <w:t>、NO</w:t>
      </w:r>
      <w:r>
        <w:rPr>
          <w:rFonts w:hint="default" w:ascii="Times New Roman" w:hAnsi="Times New Roman" w:eastAsia="宋体" w:cs="Times New Roman"/>
          <w:color w:val="auto"/>
          <w:kern w:val="0"/>
          <w:sz w:val="16"/>
          <w:szCs w:val="16"/>
          <w:lang w:val="en-US" w:eastAsia="zh-CN" w:bidi="ar"/>
        </w:rPr>
        <w:t>2</w:t>
      </w:r>
      <w:r>
        <w:rPr>
          <w:rFonts w:hint="default" w:ascii="Times New Roman" w:hAnsi="Times New Roman" w:eastAsia="宋体" w:cs="Times New Roman"/>
          <w:color w:val="auto"/>
          <w:kern w:val="0"/>
          <w:sz w:val="24"/>
          <w:szCs w:val="24"/>
          <w:lang w:val="en-US" w:eastAsia="zh-CN" w:bidi="ar"/>
        </w:rPr>
        <w:t>、C</w:t>
      </w:r>
      <w:r>
        <w:rPr>
          <w:rFonts w:hint="default" w:ascii="Times New Roman" w:hAnsi="Times New Roman" w:eastAsia="宋体" w:cs="Times New Roman"/>
          <w:color w:val="auto"/>
          <w:kern w:val="0"/>
          <w:sz w:val="16"/>
          <w:szCs w:val="16"/>
          <w:lang w:val="en-US" w:eastAsia="zh-CN" w:bidi="ar"/>
        </w:rPr>
        <w:t>m</w:t>
      </w:r>
      <w:r>
        <w:rPr>
          <w:rFonts w:hint="default" w:ascii="Times New Roman" w:hAnsi="Times New Roman" w:eastAsia="宋体" w:cs="Times New Roman"/>
          <w:color w:val="auto"/>
          <w:kern w:val="0"/>
          <w:sz w:val="24"/>
          <w:szCs w:val="24"/>
          <w:lang w:val="en-US" w:eastAsia="zh-CN" w:bidi="ar"/>
        </w:rPr>
        <w:t>H</w:t>
      </w:r>
      <w:r>
        <w:rPr>
          <w:rFonts w:hint="default" w:ascii="Times New Roman" w:hAnsi="Times New Roman" w:eastAsia="宋体" w:cs="Times New Roman"/>
          <w:color w:val="auto"/>
          <w:kern w:val="0"/>
          <w:sz w:val="16"/>
          <w:szCs w:val="16"/>
          <w:lang w:val="en-US" w:eastAsia="zh-CN" w:bidi="ar"/>
        </w:rPr>
        <w:t xml:space="preserve">n </w:t>
      </w:r>
      <w:r>
        <w:rPr>
          <w:rFonts w:hint="default" w:ascii="Times New Roman" w:hAnsi="Times New Roman" w:eastAsia="宋体" w:cs="Times New Roman"/>
          <w:color w:val="auto"/>
          <w:kern w:val="0"/>
          <w:sz w:val="24"/>
          <w:szCs w:val="24"/>
          <w:lang w:val="en-US" w:eastAsia="zh-CN" w:bidi="ar"/>
        </w:rPr>
        <w:t>等。但由于废气量较小，且施工现场均在野外，施工机械排放燃烧烟气具有排放量小、间歇性、短期性和流动性的特点，有利于空气的扩散，同时废气污染源具有间歇性和流动性，烟气对大气环境的影响较轻</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5.2.2运营期大气环境影响预测与分析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本项目为天然气管线项目，天然气处于完全密闭系统内，项目运营期在正常运营过程中不会排放大气污染物。项目运营期排放废气主要是清管、超压和事故检修时放空的废气</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5.2.3 小结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施工期：项目站场及管线的大气污染物主要是施工扬尘以及各类施工机械和运输车辆所排放的废气。扬尘所形成的环境空气影响为主要因素。由于施工期时间不长，施工期大气污染属于短期行为。项目施工过程严格按照环评提出的扬尘防治措施，并作好与当地村民的沟通工作争取得到沿线居民的理解和支持后，不会对环境造成明显影响。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运营期：项目运营过程中主要排放的废气为项目放空过程天然气燃烧产生的废气，主要污染因子为 NO</w:t>
      </w:r>
      <w:r>
        <w:rPr>
          <w:rFonts w:hint="default" w:ascii="Times New Roman" w:hAnsi="Times New Roman" w:eastAsia="宋体" w:cs="Times New Roman"/>
          <w:color w:val="auto"/>
          <w:kern w:val="0"/>
          <w:sz w:val="16"/>
          <w:szCs w:val="16"/>
          <w:lang w:val="en-US" w:eastAsia="zh-CN" w:bidi="ar"/>
        </w:rPr>
        <w:t>2</w:t>
      </w:r>
      <w:r>
        <w:rPr>
          <w:rFonts w:hint="default" w:ascii="Times New Roman" w:hAnsi="Times New Roman" w:eastAsia="宋体" w:cs="Times New Roman"/>
          <w:color w:val="auto"/>
          <w:kern w:val="0"/>
          <w:sz w:val="24"/>
          <w:szCs w:val="24"/>
          <w:lang w:val="en-US" w:eastAsia="zh-CN" w:bidi="ar"/>
        </w:rPr>
        <w:t>和 PM</w:t>
      </w:r>
      <w:r>
        <w:rPr>
          <w:rFonts w:hint="default" w:ascii="Times New Roman" w:hAnsi="Times New Roman" w:eastAsia="宋体" w:cs="Times New Roman"/>
          <w:color w:val="auto"/>
          <w:kern w:val="0"/>
          <w:sz w:val="16"/>
          <w:szCs w:val="16"/>
          <w:lang w:val="en-US" w:eastAsia="zh-CN" w:bidi="ar"/>
        </w:rPr>
        <w:t>10</w:t>
      </w:r>
      <w:r>
        <w:rPr>
          <w:rFonts w:hint="default" w:ascii="Times New Roman" w:hAnsi="Times New Roman" w:eastAsia="宋体" w:cs="Times New Roman"/>
          <w:color w:val="auto"/>
          <w:kern w:val="0"/>
          <w:sz w:val="24"/>
          <w:szCs w:val="24"/>
          <w:lang w:val="en-US" w:eastAsia="zh-CN" w:bidi="ar"/>
        </w:rPr>
        <w:t>，经过预测项目排放污染物对站场周围的环境空气敏感点影响不大。但建议加强场区内的管理和设备维护，尽量减少污染物的排放量。</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8"/>
          <w:szCs w:val="28"/>
        </w:rPr>
      </w:pPr>
      <w:r>
        <w:rPr>
          <w:rFonts w:hint="default" w:ascii="Times New Roman" w:hAnsi="Times New Roman" w:eastAsia="宋体" w:cs="Times New Roman"/>
          <w:b/>
          <w:bCs/>
          <w:color w:val="auto"/>
          <w:kern w:val="0"/>
          <w:sz w:val="28"/>
          <w:szCs w:val="28"/>
          <w:lang w:val="en-US" w:eastAsia="zh-CN" w:bidi="ar"/>
        </w:rPr>
        <w:t xml:space="preserve">5.3 水环境影响评价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5.3.1 施工期地表水环境影响评价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本工程施工期对水环境的影响主要是管道施工的影响、施工人员在施工作业中产生的生活污水、管道安装完后清管试压的生产污水等排放对水环境的影响等。采用定向钻方式穿越东河。采用定向钻方式穿越东河、采用定向钻方式穿越东河，在穿越施工期间，要严格执行《水污染防治法》及地方河道管理中有关规定，尽量减少对水工设施的影响，并严格实施关于大开挖施工方式的有关环境保护要求及相应保护措施。</w:t>
      </w:r>
    </w:p>
    <w:p>
      <w:pPr>
        <w:keepNext w:val="0"/>
        <w:keepLines w:val="0"/>
        <w:widowControl/>
        <w:suppressLineNumbers w:val="0"/>
        <w:ind w:left="0" w:leftChars="0" w:firstLine="0" w:firstLineChars="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5.3.1.2定向钻穿越对地表水环境的影响分析</w:t>
      </w:r>
      <w:r>
        <w:rPr>
          <w:rFonts w:hint="default" w:ascii="Times New Roman" w:hAnsi="Times New Roman" w:eastAsia="宋体" w:cs="Times New Roman"/>
          <w:b/>
          <w:bCs/>
          <w:color w:val="auto"/>
          <w:kern w:val="0"/>
          <w:sz w:val="28"/>
          <w:szCs w:val="28"/>
          <w:lang w:val="en-US" w:eastAsia="zh-CN" w:bidi="ar"/>
        </w:rPr>
        <w:t xml:space="preserve">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定向钻穿越是一种环境影响较小的穿越施工方法，管道穿越地表水应优先考虑，尤其是在环境敏感区段。本项目在穿越东河过程中采用定向钻穿越。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1、定向钻施工方式介绍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定向钻穿越是一种先进的管道穿越施工方法。定向钻穿越的管道孔在河床以下，距离河床 10m 以上，具有不破坏河堤、不扰动河床等优点。由于定向钻穿越施工场地，要求“入土点”、“出土点”设在堤岸外侧，定向钻技术在河流河床下 10m-20m 处穿越，不对堤岸工程、河流水温、水利条件及水体环境产生影响，施工地点距离穿越水域的水面一般较远，施工作业废水不会污染水体；施工时只会对河堤两侧土层暂时破坏，施工完成恢复河堤原貌后，不会给河堤造成不利影响；施工期和运营期河面景观均无改变；大型水域管道埋深一般在河床以下，施工过程既不影响河道两侧的堤坝，也不影响航运和船舶抛锚，对主河道水流不会产生阻隔作用，不会扰动河流水文、水利条件、河水水质和相关水利设施，基本不会对水环境造成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穿越过程中需在入土点与出土点分设泥浆池，一般泥浆池达到安全填埋，对地表水体造成的影响很小，从已有工程的施工现场来看，泥浆池均设有防渗膜，造成泄漏的几率较小，对泥浆池的大小设计是根据定向钻穿越河流长度所需泥浆量的多少来进行设计的。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2、在定向钻穿越施工中，主要环境影响有：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（1）施工时，对河堤两侧土层会暂时破坏</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（2）钻屑沉淀池和泥浆收集池中污染物外溢或泄漏可能污染水体；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（3）施工结束后还将产生一定量的固体废物(主要是废弃泥浆和钻屑)；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（4）施工过程产生的生活污水和生活垃圾等。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3、为减少定向钻施工过程中的环境影响，环评提出如下环保措施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（1）禁止向水体内排放一切污染物。禁止在施工场地建临时厕所，防止生活污水和生活垃圾直接进入河道。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（2）在穿越河流的两堤外堤脚内禁止给施工机械加油、存放油品储罐，禁止在河流主流区和漫流区内清洗施工机械、车辆和排放污水。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（3）防止设备漏油遗撒在水体里。加强设备的维修保养，在易发生泄漏的设备底部铺防漏油布，并在重点地方设立接油盘等，同时及时清理漏油。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（4）泥浆池要按照规范设立，其容积要考虑 30%的余量，以防雨水冲刷外溢，泥浆池底要采用防渗膜进行防渗处理，保证泥浆不渗入地下。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施工结束后，产生的废弃泥浆经分离后进行固化处理，可汲取已建工程定向钻穿越的处理经验，与当地签定处理协议(一般移交当地农民处理)；也可留在泥浆池中，固化后覆土掩埋恢复种植；分离出的污水可运走，经处理达标后排放；废钻屑用于加筑堤坝和进行场地恢复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（6）施工多余土方可用于沿岸护堤，不得随意弃置。施工结束后要尽快恢复出、入土场地的原貌，减少水土流失</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5.3.1.4 生活污水及试压废水对地表水的影响分析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根据工程分析，本项目同时施工是分段分期进行，具有较大的分散性，局部排放量很小。施工期间，施工单位就近租用当地民房。因此施工期生活污水主要依托当地的生活污水处理系统后用于周围农田施肥，不直接排入附近河流。若无现有处理设施可依托，则采用移动厕所或临时厕所进行处理，收集后用于施肥等。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项目在同一地点产生生活污水较少，生活污水不直接进入地表水体，施工期生活污水对地表水环境的影响很小。项目在进行试压前已先使用空气进行清管，已基本清除了管道内的泥沙等颗粒，因此试压废水中含有的污染物浓度极低，这部分废水经沉淀处理后可以达到《污水综合排放标准》（GB8978-1996）要求，可以直接外排，不会对受纳水体产生大的影响。试压水应尽量排入沉淀池中，过滤后可重复使用，水中的主要污染因子为 SS，试压废水的处置方式一般是在征得地方环境保护主管部门的许可后选择合适的地点排放，试压废水对环境的影响不大。环评要求：禁止向东河直接排放试压废水。</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5.3.2 营运期地表水环境影响评价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本项目营运期由于采用密闭输气工艺，正常情况下对环境的影响主要来自工艺站场产生的生活污水和分离器分离出的少量气田水。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根据工程分析，项目元坝首站原址扩建，不新增员工，陵江清管站为无人值守站，项目新增作业区42 人，产生的生活污水经化粪池处理后，进入市政管网。</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正常工况下，由于输气管线是全封闭系统，输运的天然气不会与管线穿越的河流水体之间发生联系，采用防腐层和阴极保护联合方式，如不发生泄漏事故，正常运营期对穿越河流不会造成影响，对周边环境基本无任何影响，仅在发生泄漏事故的状态下才会对地表水环境造成污染影响，管线穿越河流时埋设在穿越河流河床设计冲刷线以下稳定层内，若发生破裂事故，其泄漏的天然气会经过地表水泄漏到大气中，会对大气环境造成一定的影响，天然气对水质的影响较小。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5.3.3 施工期地下水环境影响分析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1、管道建设对地下水的影响分析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本工程的管道敷设埋深一般在 2m 以内，在施工过程中的辅料、废料等在降水的淋滤作用下产生的浸出液进入地下含水层，将对地下水造成不同程度的影响，其影响程度决定于下渗量及其饱和地带的厚度、岩性和对污染物的阻滞、吸附分解等自然净化能力。由管道通过地区沿线的表层土来看，均有一定的自然净化能力，对地下水的影响较小。施工过程中不设营地，均依托民居与招待所，生活污水、生活垃圾利用现有设施进行处理处置，对地下水的影响很小。本工程管道所经过区域没有地下水源保护区，工程施工不会对地下水源保护区造成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因此，本工程的管线埋设不会对地下水造成明显影响</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2、定向钻穿越对地下水影响分析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项目使用定向钻穿越东河，定向钻是由定向钻机进行钻孔、扩孔、清孔等过程以后再进行管道回拖，因此河流定向钻穿越施工分为四个部分，即钻导向孔过程、预扩孔过程、管线回托过程及施工结束后地貌恢复过程。定向钻施工时需要利用泥浆进行处理，钻孔结束后钻孔泥屑随泥浆返回地面。施工泥浆成份一般主要为膨润土和清水及少量（一般为 5%左右）的添加剂（羧甲基纤维素钠 CMC），无毒且无害。施工过程中设置泥浆池，并对泥浆进行重复利用，工程完工后剩余泥浆及钻孔岩屑将作为废物处理，一般采取自然干化后覆土掩埋并恢复种植，不会对地下水造成污染。定向钻施工时管线埋深一般在河床以下20m，最低不低于 6m。施工过程中，钻孔的钻进过程中轻微改变原有的地下水流场，因不排水不会引起的地下水水位降低。运营期管道埋设于地下，由于输气管道采用了防腐措施，正常情况下不会对地下水产生影响；在事故状态下，管道破裂后管道中气体溢出，由于天然气不溶于水，且密度比空气小，因此溢出后及时挥发，不会对地下水产生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本项目在定向钻穿越施工过程中，不向区域地下水环境中排放废水，不会对地下水水质造成明显影响</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5.3.4 营运期地下水环境影响分析与评价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运营期管道沿线表层地质结构受到破坏，渗透性增大，有利于地面污染物随降水渗入地下含水层，由于本工程所经区域为农村地区，地表污染物较少，因此由于地表破坏而造成的地下水影响很微小。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营运期顶管隧道穿越位置堵水、止水措施逐渐开始发挥效用，因而不会出现大规模的集中渗水、漏水，但是由于隧道洞壁的存在具有一定的阻隔作用，地下水原流动通道改变，如果隧道与地下水流向大角度相交，在上游侧隧道附近的地下水水位将有一定程度的抬升，而在下游侧隧道附近地下水水位会有少量降低，但影响极微。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营运期，正常工况下，由于输气管线是全封闭系统，采用外防腐层和强制电流阴极保护联合方式，如不发生泄漏事故，对地下水不会造成影响。当管线发生破裂事故，其泄漏的天然气主要成分为甲烷，为气态，不溶于水，直接进入空气中，气体不会进入地下水，对地下水基本不会造成影响。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营运期，产生的废水均不外排由于站场的污水处理装置区均采用了防渗处理，生产废水不会通过渗漏进入浅表地下水，因此不会对地下水造成明显影响。</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5.3.5 小结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1、施工期应对施工弃渣、施工人员生活垃圾妥善处置；对施工材料堆放严格管理，及时填埋开挖土石；加强穿越河流的施工管理。只要加强施工管理，严格执行本次环评措施，施工期对周围水环境影响较小。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运营期正常工况下，管道对穿越河流不会造成影响，在发生泄漏事故的状态下，对地表水环境造成的影响较少。各工艺站场生活污水进入地埋式一体化生活污水处理装置处理后，用于厂区绿化和周围农业灌溉。气田水全部暂存于场站内建设的污水罐中，定期采用罐车外运处理。因此，对地表水环境的影响较小。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3、项目不涉及地下水饮用水源保护区，项目在管道铺设、定向钻穿越和场站建设过程中，排放废水量较小，不会对地下水水质造成明显影响。在项目运营过程中，本项目产生的废水可以得到有效处理，不会进入地下水，对地下水造成影响。</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8"/>
          <w:szCs w:val="28"/>
          <w:lang w:val="en-US" w:eastAsia="zh-CN" w:bidi="ar"/>
        </w:rPr>
        <w:t>5.4 声环境现状调查与影响评价</w:t>
      </w:r>
      <w:r>
        <w:rPr>
          <w:rFonts w:hint="default" w:ascii="Times New Roman" w:hAnsi="Times New Roman" w:eastAsia="宋体" w:cs="Times New Roman"/>
          <w:b/>
          <w:bCs/>
          <w:color w:val="auto"/>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5.4.1 施工期声环境影响评价 </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5.4.1.1 施工噪声源</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根据工程分析，施工期对噪声环境的影响中主要是由施工机械和运输车辆造成，此外，在山区及河谷修伴行道路和拓宽原有山路、开挖管沟、修建隧道等施工中，会产生强噪声。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各施工区段内随着项目进展，将采用不同的机械设备施工，如在挖沟时采用挖掘机，布管时使用运输车辆，焊接时使用电焊机及发电机，管线入沟时采用吊管机，回填时使用推土机，这些施工均为白天作业，根据施工内容交替使用施工机械，并随施工位置变化移动，在同一区域施工时间较短。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穿越施工地点选择在交通方便、场地开阔的一侧，施工周期取决于采用的施 工方式和穿越长度及地质情况，每项穿越工程的施工时间一般在 20～40d 不等，一般白天施工，噪声源主要是发电机、定向钻机和泥浆泵噪声等。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根据类比调查和现场踏勘监测以及项目可行性研究报告提供的主要设备选型等有关资料分析，设备高达 85dB(A)以上的噪声源施工机械有：挖掘机、吊管机、电焊机、定向钻机、推土机、切割机、石料运输车等。</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在线路施工中，使用挖掘机的时间较长，噪声强度较高，持续时间较长，而其它施工机械如切割机、推土机等一般间歇使用，且施工时间较短，故挖掘机施工噪声基本反映了管线施工噪声的影响水平。定向钻和顶管穿越施工的主要噪声源为定向钻机、柴油发电机，源强 90～100dB（A），一般白天施工，施工周期为 20～40d，应采取加隔音板等措施隔声降噪。</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5.1.2 施工噪声影响分析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一、施工机械对管道两侧居民的影响分析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项目施工过程中主要机械在 40m 以外不超过《建筑施工场界环境噪声排放标准》（GB12523-2011）中昼间噪声限值 70dB（A），而在夜间若不超过 55dB（A）的标准，其距离要远到 200m 以上。本项目管线 200m 范围内分布有村庄、居民点等。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的施工机械定向钻机、切割机和柴油发电机基本在站场施工、定向钻穿越大型河流等时使用，使用频率低，挖掘机使用频率最高，因此，以挖掘机为代表说明本项目施工期噪声影响。根据计算结果，本项目施工期设备噪声声级值以施工管道沿线向外逐渐减弱，根据表 4.4-1，在昼间距离施工机械 40m 处能够满足《建筑施工场界环境噪声排放标准》（GB12523-2011）中昼间噪声限值 70dB （A）要求，夜间在距声源 200m 以外挖掘机的噪声声级值已低于 54dB(A)。</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本项目管线主要在昼间进行施工，施工机械产生的噪声经过距离衰减后需要 100m才满足《声环境质量标准》（GB3096-2008）中二级标准要求。因此管线两侧 200m以内的噪声保护目标的声环境在施工期会受到施工噪声的影响（100m 范围内的影响较大），距离施工区域越近，噪声水平有不同程度的增加，若不采取隔声降噪措施，噪声值会超过标准限值。但施工噪声是短暂的且具有分散性，一般在白天施工，不会对夜间声环境产生影响。在同一工段施工时间为 3-5 天，随着施期的结束，影响也随之结束。因此，一般施工噪声对周围居民的生活影响不是很大。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为防止对近距离的敏感点造成影响，采取措施如下：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（1）合理安排施工时间</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在制定施工计划时，尽可能避免大量高噪声设备同时施工，高噪声施工时间安排在白天，夜间尽量减少施工或不施工。管线经过 40m 范围内近距离居民区时，夜间禁止施工。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（2）合理布局施工现场，避免在同一地点安排大量动力机械设备，以免局部声级过高。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（3）建立临时声屏障，在 40m 范围内有较多敏感目标存在时，在敏感目标和项目施工作业带间设置临时单面声障，减缓噪声对敏感点的影响。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（4）管线运输、吊装应安排在日间，施工车间路过村镇时，禁止鸣笛。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（5）施工方应该合理有效的制定施工计划，提离工作效率，把施工时间控制在最短范围内，并提前发布公告，最大限度的争取民众支持。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6）尽量采用低噪声机械，工程施工所用的施工机械设备应事先对其常规工作状态下的噪声测量，超过国家标准的机械应禁止入场施工。施工过程中经常对设备进行维修保养，避免因使用的设备性能差而使噪声增加的现象发生。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5.4.2运营期噪声环境影响评价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5.4.2.1 站场预测源强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项目天然气管线运输过程中不会产生噪声，在本项目运营期，产生噪声最大的设备主要是压缩机和卸压装置，即噪声主要是由分离器、调压装置（压缩机加压和卸压装置减压）和阀门产生，其噪声值一般在 65-75dB(A)。此外，系统超压时放空立管会产生瞬时强噪声，噪声值可达 90-105dB(A)，本项目站场正常运行过程中噪声较小，加之输气站的围墙对降低噪声有很好的效果，因此输气管道 工程运营期间噪声对环境的影响通常比较小。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5.4.3 小结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1、项目施工期噪声主要由挖掘机、吊管机、电焊机等产生，在同一区域施工时间较短，主要机械在 40m 以外噪声值不超过建筑物施工场界昼间噪声限值75dB（A）要求。且随着施工期的结束，影响也随之结束。只要严格按照本次评价提出的措施后，项目施工期噪声不会对线路外环境造成明显影响。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本项目在正常运营过程中各场站产生的设备噪声可实现达标排放，不会对场界及外环境造成明显影响，可做到噪声不扰民。在非正常工况下，项目各场站周围会出现噪声超标现象，但由于项目放空持续时间短、频次低，因此项目非正常工况对周边居民的影响较小。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8"/>
          <w:szCs w:val="28"/>
        </w:rPr>
      </w:pPr>
      <w:r>
        <w:rPr>
          <w:rFonts w:hint="default" w:ascii="Times New Roman" w:hAnsi="Times New Roman" w:eastAsia="宋体" w:cs="Times New Roman"/>
          <w:b/>
          <w:bCs/>
          <w:color w:val="auto"/>
          <w:kern w:val="0"/>
          <w:sz w:val="28"/>
          <w:szCs w:val="28"/>
          <w:lang w:val="en-US" w:eastAsia="zh-CN" w:bidi="ar"/>
        </w:rPr>
        <w:t xml:space="preserve">5.5固体废物影响分析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5.5.1 施工期固体废物环境影响分析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施工期的固体废物来源：施工人员产生的生活垃圾、隧道与定向钻施工产生的废弃泥浆、工程施工产生的弃土、弃渣和施工废料等。</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5.5.1.1 废弃泥浆环境影响分析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1、泥浆来源</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本项目废弃泥浆来自定向钻施工过程。在定向钻穿越施工过程中所用泥浆有成孔和护孔壁性能，起清扫钻屑、传递动力、降低钻进及回拖阻力等作用。本项目管道穿越施工共产生泥浆762m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2、泥浆的组分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定向钻所用泥浆主要由膨润钠土和水，并掺入适量的添加剂组成。膨润钠土系采用一类天然的较特殊粘土，具较高的膨胀性和较强的粘度，本身无毒无害无污染。在中石化川气东送管道工程等工程中均已采用定向钻方式穿越。</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3、泥浆配制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（1）膨润土和水配制成施工使用的水溶液状泥浆，根据水质状况，加入少量纯碱，使水的pH值达到9.0左右，根据土质条件、施工管径、施工长度等情况在1m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水中加入2-3kg添加剂</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（2）现场设置专门的泥浆配置区，在专用的泥浆搅拌、配制槽内进行泥浆配制工作，配制好的泥浆储存在金属结构的泥浆槽内，不向环境中溢流。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（3）为减少环境污染和有效的保证泥浆的供应量，在施工现场安装泥浆回收处理系统，使泥浆循环使用。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4、泥浆的使用和废弃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在钻孔和扩孔过程中，从钻孔返回的泥浆过滤出钻屑及杂质后可重复使用。管线回拖过程中泥浆的消耗量最大，回拖前需用泥浆充满整个钻孔，在管线回拖过程的前半段，管线的逐渐入孔，受管线的挤压作用，泥浆从入土点的钻孔涌出，在管线回拖过程中，泥浆随管线从出土点钻孔流出。故管线回拖前，需先在两岸出入土点附近分别挖好废弃泥浆坑并采取防渗措施，准备接纳废弃泥浆。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管线回拖成功后，产生的废弃泥浆流入预先挖成的废弃泥浆坑和回拖发送沟内，施工完成后剩余的泥浆无回收、再利用价值。废泥浆处理产用投加破胶剂破胶，以使废泥浆泥水分离。上层清液用于施工场地绿化恢复用水，下层废泥浆和泥浆回收装置分离出的钻渣一起在现场使用粉煤灰和水泥进行固化处置，经固化处理后，剩余的干泥浆量较少，就地埋入防渗的泥浆池中，上面覆盖40cm的耕作土，保证恢复原有地貌。可使废泥浆得到有效处理，不会遗留环境问题，不会对地表水水质造成不利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5、废弃泥浆环境影响分析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项目定向钻施工的入土点和出土点均选在河堤外侧，并便于施工的场地。由于废弃泥浆量干重很少，且属于第Ⅱ类一般工业固体废物，因此对土壤环境的影响较小，对施工地点的局部环境不会产生明显的不利影响。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为减少本项目固体废弃物的产生，减轻固体废物的排放对周围环境的影响，施工过程中应对废弃泥浆的使用、处置处理进行全过程的管理和控制，具体措施如下：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①施工现场设置专门的配浆区，在专用的泥浆搅拌、配置槽内进行泥浆配制工作，配制好的泥浆储存在金属结构的泥浆槽内，不得向环境中溢流。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②施工前需在两岸出入土点附近分别挖好泥浆池。泥浆池的位置应选择出入土点较近处，并且适合永久储存泥浆，尽量少占用养殖区、耕地等。每个泥浆池的表层土单独堆放，用于恢复原有地貌。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③施工期间，从钻孔返回的泥浆过滤出钻屑和杂质后，尽可能重复利用，减少废弃泥浆的产生量。</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④施工期间严格操作规程，合理制定操作参数，防止施工过程出现跑浆等事故。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⑤经固化处理后的泥浆，就地埋入防渗的泥浆池中，上面覆盖40cm的耕作土，保证恢复原有地貌，泥浆填埋地点需要得到当地环保部门同意。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5.5.1.2 弃土石方影响分析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根据项目《水土保持可行性方案》，经土石方平衡分析，本工程挖方共计52.10万m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（包括表土剥离17.14万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），填方共计32.13万m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（包括表土回覆17.13万m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），通过外购形式获得，弃方20.93万m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（含松方29.34万m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），全部堆弃于弃土场。设置一处弃渣场，平面面积6.65万m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 xml:space="preserve">。工程弃渣对周围环境影响不大。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5.5.1.3 生活垃圾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工程施工过程中，施工人员就近租用当地民房，而且项目分段施工，生活垃圾产生量很小，产生的生活垃圾临近城市垃圾填埋场的运至垃圾填埋场处理，不临近的运至远离水体的低洼处填埋，不会对周围环境产生明显不利影响。</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5.5.2 营运期固体废物环境影响评价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营运期采用密闭输气工艺，营运期固体废物主要为各站场职工产生的生活垃圾。本项目在运营过程中仅在元坝作业区有员工，生活垃圾产生量约21kg/d，生活垃圾定期清运至元坝垃圾转运站，由元坝镇环卫部门进行清运处理，不会对环境造成明显影响。</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5.5.3 小结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施工期的固体废物来源：施工人员产生的生活垃圾与定向钻施工产生的废弃泥浆、工程施工产生的弃土、弃渣和施工废料等。营运期采用密闭输气工艺，营运期固体废物主要为各站场职工产生的生活垃圾。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本项目施工期和营运期的固废均得到了有效的处理/处置，没有外排，对环境影响较小</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8"/>
          <w:szCs w:val="28"/>
          <w:lang w:val="en-US" w:eastAsia="zh-CN" w:bidi="ar"/>
        </w:rPr>
        <w:t>5.6 对东河饮用水保护区影响评价</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本工程输气管道拟在苍溪县中土镇人和村采用定向钻穿越东河，根据现场调查，在东河穿越点下游</w:t>
      </w:r>
      <w:r>
        <w:rPr>
          <w:rFonts w:hint="eastAsia" w:ascii="Times New Roman" w:hAnsi="Times New Roman" w:cs="Times New Roman"/>
          <w:color w:val="auto"/>
          <w:kern w:val="0"/>
          <w:sz w:val="24"/>
          <w:szCs w:val="24"/>
          <w:lang w:val="en-US" w:eastAsia="zh-CN" w:bidi="ar"/>
        </w:rPr>
        <w:t>3.2</w:t>
      </w:r>
      <w:r>
        <w:rPr>
          <w:rFonts w:hint="default" w:ascii="Times New Roman" w:hAnsi="Times New Roman" w:eastAsia="宋体" w:cs="Times New Roman"/>
          <w:color w:val="auto"/>
          <w:kern w:val="0"/>
          <w:sz w:val="24"/>
          <w:szCs w:val="24"/>
          <w:lang w:val="en-US" w:eastAsia="zh-CN" w:bidi="ar"/>
        </w:rPr>
        <w:t xml:space="preserve">km处为云峰镇王渡社区的饮用水源取水口。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5.6.3.2.1 保护区概况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根据广元市人民政府批准的云峰镇王渡社区饮用水水源地保护区划定方案，饮用水源保护区划分情况如下表：</w:t>
      </w:r>
    </w:p>
    <w:p>
      <w:pPr>
        <w:keepNext w:val="0"/>
        <w:keepLines w:val="0"/>
        <w:widowControl/>
        <w:suppressLineNumbers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val="en-US" w:eastAsia="zh-CN" w:bidi="ar"/>
        </w:rPr>
        <w:t>表 云峰镇王渡社区饮用水水源地保护区划定情况表</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708"/>
        <w:gridCol w:w="1934"/>
        <w:gridCol w:w="2206"/>
        <w:gridCol w:w="2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476"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取水情况</w:t>
            </w:r>
          </w:p>
        </w:tc>
        <w:tc>
          <w:tcPr>
            <w:tcW w:w="105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一级保护区</w:t>
            </w:r>
          </w:p>
        </w:tc>
        <w:tc>
          <w:tcPr>
            <w:tcW w:w="1202"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二级保护区</w:t>
            </w:r>
          </w:p>
        </w:tc>
        <w:tc>
          <w:tcPr>
            <w:tcW w:w="126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准保护区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810" w:hRule="atLeast"/>
        </w:trPr>
        <w:tc>
          <w:tcPr>
            <w:tcW w:w="147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取水水源为东河（东经：106°05'26.0"；北纬 31°44'31.2"），主要服务云峰镇王渡社区居民用水，设计取水能力为1000t/天。</w:t>
            </w:r>
          </w:p>
        </w:tc>
        <w:tc>
          <w:tcPr>
            <w:tcW w:w="10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水域：取水口上游1000米至下游100米</w:t>
            </w:r>
          </w:p>
        </w:tc>
        <w:tc>
          <w:tcPr>
            <w:tcW w:w="120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水域：从一级保护区上界起上溯2500 米</w:t>
            </w:r>
          </w:p>
        </w:tc>
        <w:tc>
          <w:tcPr>
            <w:tcW w:w="12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水域：从一级保护区上界起上溯 5000米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810" w:hRule="atLeast"/>
        </w:trPr>
        <w:tc>
          <w:tcPr>
            <w:tcW w:w="147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0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陆域：水域向陆岸延伸200 米</w:t>
            </w:r>
          </w:p>
        </w:tc>
        <w:tc>
          <w:tcPr>
            <w:tcW w:w="120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陆域：水域向陆岸延伸 200 米</w:t>
            </w:r>
          </w:p>
        </w:tc>
        <w:tc>
          <w:tcPr>
            <w:tcW w:w="12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陆域：水域向陆岸延伸 200米</w:t>
            </w:r>
          </w:p>
        </w:tc>
      </w:tr>
    </w:tbl>
    <w:p>
      <w:pPr>
        <w:keepNext w:val="0"/>
        <w:keepLines w:val="0"/>
        <w:widowControl/>
        <w:suppressLineNumbers w:val="0"/>
        <w:ind w:left="0" w:leftChars="0" w:firstLine="0" w:firstLineChars="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5.6.3.2.2 本项目与保护区关系 </w:t>
      </w:r>
    </w:p>
    <w:p>
      <w:pPr>
        <w:pStyle w:val="2"/>
        <w:ind w:left="0" w:leftChars="0" w:firstLine="480" w:firstLineChars="200"/>
        <w:jc w:val="both"/>
        <w:rPr>
          <w:rFonts w:hint="default" w:ascii="Times New Roman" w:hAnsi="Times New Roman" w:eastAsia="宋体" w:cs="Times New Roman"/>
          <w:color w:val="auto"/>
        </w:rPr>
      </w:pPr>
      <w:r>
        <w:rPr>
          <w:rFonts w:hint="default" w:ascii="Times New Roman" w:hAnsi="Times New Roman" w:eastAsia="宋体" w:cs="Times New Roman"/>
          <w:color w:val="auto"/>
        </w:rPr>
        <w:drawing>
          <wp:anchor distT="0" distB="0" distL="114300" distR="114300" simplePos="0" relativeHeight="251675648" behindDoc="0" locked="0" layoutInCell="1" allowOverlap="1">
            <wp:simplePos x="0" y="0"/>
            <wp:positionH relativeFrom="column">
              <wp:posOffset>168910</wp:posOffset>
            </wp:positionH>
            <wp:positionV relativeFrom="paragraph">
              <wp:posOffset>-633095</wp:posOffset>
            </wp:positionV>
            <wp:extent cx="5680075" cy="4570095"/>
            <wp:effectExtent l="0" t="0" r="15875" b="1905"/>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3"/>
                    <a:stretch>
                      <a:fillRect/>
                    </a:stretch>
                  </pic:blipFill>
                  <pic:spPr>
                    <a:xfrm>
                      <a:off x="0" y="0"/>
                      <a:ext cx="5680075" cy="4570095"/>
                    </a:xfrm>
                    <a:prstGeom prst="rect">
                      <a:avLst/>
                    </a:prstGeom>
                    <a:noFill/>
                    <a:ln>
                      <a:noFill/>
                    </a:ln>
                  </pic:spPr>
                </pic:pic>
              </a:graphicData>
            </a:graphic>
          </wp:anchor>
        </w:drawing>
      </w:r>
      <w:r>
        <w:rPr>
          <w:rFonts w:hint="default" w:ascii="Times New Roman" w:hAnsi="Times New Roman" w:eastAsia="宋体" w:cs="Times New Roman"/>
          <w:color w:val="auto"/>
          <w:kern w:val="0"/>
          <w:sz w:val="24"/>
          <w:szCs w:val="24"/>
          <w:lang w:val="en-US" w:eastAsia="zh-CN" w:bidi="ar"/>
        </w:rPr>
        <w:t>本项目距离云峰镇王渡社区取水口</w:t>
      </w:r>
      <w:r>
        <w:rPr>
          <w:rFonts w:hint="eastAsia" w:cs="Times New Roman"/>
          <w:color w:val="auto"/>
          <w:kern w:val="0"/>
          <w:sz w:val="24"/>
          <w:szCs w:val="24"/>
          <w:lang w:val="en-US" w:eastAsia="zh-CN" w:bidi="ar"/>
        </w:rPr>
        <w:t>3.2</w:t>
      </w:r>
      <w:r>
        <w:rPr>
          <w:rFonts w:hint="default" w:ascii="Times New Roman" w:hAnsi="Times New Roman" w:eastAsia="宋体" w:cs="Times New Roman"/>
          <w:color w:val="auto"/>
          <w:kern w:val="0"/>
          <w:sz w:val="24"/>
          <w:szCs w:val="24"/>
          <w:lang w:val="en-US" w:eastAsia="zh-CN" w:bidi="ar"/>
        </w:rPr>
        <w:t>km，处于云峰镇王渡社区饮用水二级保护区内，本项目拟采用定向钻方式进行穿越，本项目在中风化泥岩及中风化砂岩层进行穿越，不与</w:t>
      </w:r>
      <w:r>
        <w:rPr>
          <w:rFonts w:hint="default" w:ascii="Times New Roman" w:hAnsi="Times New Roman" w:eastAsia="宋体" w:cs="Times New Roman"/>
          <w:color w:val="auto"/>
          <w:kern w:val="0"/>
          <w:sz w:val="21"/>
          <w:szCs w:val="21"/>
          <w:lang w:val="en-US" w:eastAsia="zh-CN" w:bidi="ar"/>
        </w:rPr>
        <w:t>东</w:t>
      </w:r>
      <w:r>
        <w:rPr>
          <w:rFonts w:hint="default" w:ascii="Times New Roman" w:hAnsi="Times New Roman" w:eastAsia="宋体" w:cs="Times New Roman"/>
          <w:color w:val="auto"/>
          <w:kern w:val="0"/>
          <w:sz w:val="24"/>
          <w:szCs w:val="24"/>
          <w:lang w:val="en-US" w:eastAsia="zh-CN" w:bidi="ar"/>
        </w:rPr>
        <w:t xml:space="preserve">河地表水水体进行直接接触。本项目与云峰镇王渡社区饮用水源保护区关系见下图：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5.6.3.1.3 东穿越施工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项目采用定向钻穿越东河，两侧均有道路到达出入土点附件，考虑东河河道整体走向，选择东河南岸作为出土点，场地满足管道整体回拖的要求，由于管道走向发生改变，回拖场地需考虑临时征地；东河北侧作为入土点，交通便利，钻机进场容易。入土点场区和出土点场区分布位于河岸两侧约200m处，属于饮用水源</w:t>
      </w:r>
      <w:r>
        <w:rPr>
          <w:rFonts w:hint="eastAsia" w:ascii="Times New Roman" w:hAnsi="Times New Roman" w:cs="Times New Roman"/>
          <w:color w:val="auto"/>
          <w:kern w:val="0"/>
          <w:sz w:val="24"/>
          <w:szCs w:val="24"/>
          <w:lang w:val="en-US" w:eastAsia="zh-CN" w:bidi="ar"/>
        </w:rPr>
        <w:t>二级</w:t>
      </w:r>
      <w:r>
        <w:rPr>
          <w:rFonts w:hint="default" w:ascii="Times New Roman" w:hAnsi="Times New Roman" w:eastAsia="宋体" w:cs="Times New Roman"/>
          <w:color w:val="auto"/>
          <w:kern w:val="0"/>
          <w:sz w:val="24"/>
          <w:szCs w:val="24"/>
          <w:lang w:val="en-US" w:eastAsia="zh-CN" w:bidi="ar"/>
        </w:rPr>
        <w:t xml:space="preserve">保护区的陆域范围。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定向钻穿越管顶埋深应大于百年一遇设计冲刷线以下6m，综合考虑以上因素及入、出土角、曲率半径等要求，选择穿越管道管底标高为341.2m，位于主河槽以下 16.0m。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穿越管段的出、入土角根据穿越地形、地质条件和穿越管径的大小确定，管线定向钻入土角定为 12°，出土角定为 10°，穿越管段的曲率半径为 1500D（D为钢管外径）。 穿越管线从岸上弹性敷设到主河槽底部，最小深度约为 9.7m 左右（对应管底设计标高 348.0m，进入中风化泥岩深度为 6.8m）。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根据工程地质剖面图上所揭示的地层，综合考虑上述各项因素，确定穿越管线两侧局部穿越粉土、粉质粘土、强风化砂岩、中风化泥岩、中风化砂岩，河床底部处穿越中风化泥岩及中风化砂岩层。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在定向钻入土点平整出 50m×50m 的施工场地，出土点设置 40m×40m 的施工场地。为防止雨水进入施工场地，在场地四周加设排水沟，排水沟采用浆砌块石的形式。</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本项目采用定向钻方式穿越东河，定向钻穿越水平长度约 1300m，实长约 1300m。本项目穿越东河在中风化泥岩及中风化砂岩层内进行，不需要开挖河面，不会与东河水体进行直接接触，不会对东河水质造成直接影响。为减少本项目建设可能对东河水质造成影响，环评提出以下防治措施。</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1、严格按照《中华人民共和国水污染防治法》、《四川省饮用水水源保护管理条例》等法律法规要求进行建设；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2、禁止向水体内排放一切污染物；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3、施工临时堆场尽量远离河道，不建设施工营地，防止生活污水和生活垃圾直接进入河道。在东河河岸两侧 200m 范围内不得设置施工材料堆场、施工营地、临时厕所等可能对东河水体造成影响的设施；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4、在河流两岸堤防以内不准给施工机械加油或存放油品储罐，不准清洗施工机械、排放污水；施工过程和结束后，机械设备若有漏油或少量机油洒落，应及时清理散落机油；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5、将项目施工过程中产生的施工废水经过沉淀处理后上清液回用，无法回用的废水用于区域内农田灌溉或林区洒水，严禁废水直接排入东河；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6、废泥浆处理产用投加破胶剂破胶，以使废泥浆泥水分离。上层清液用于施工场地绿化恢复用水，由于施工场地属于饮用水源保护区，下层废泥浆和泥浆回收装置分离出的钻渣一起在现场使用粉煤灰和水泥进行固化处置；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7、施工结束后要尽快恢复出、入土场地的原貌，减少水土流失；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8、在穿越保护区时对穿越管段采取加大壁厚、独立试压等措施，同时防腐采用外防腐涂层和外加电流阴极联合保护，确保运行安全。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因为项目对东河的影响主要在施工期，随着施工期结束而结束，影响很小。在管道运营期间不会对饮用水源造成影响。因此，在严格落实了本评价提出的上述环保措施后，施工期岸上施工产生的污染物可以得到合理有效的处置，管道穿越不会对东河饮用水源造成影响，可以接受。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5.6.3.1.5 主管部门意见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《中华人民共和国水污染防治法》、《四川省饮用水水源保护管理条例》对饮用水源准保护区法律法规相关要求。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本项目为清洁能源输送工程，属于非污染生态型项目，项目营运期管道不排污；工程采用定向钻方式跨越东河，工程全部于岸上完成施工作业，也无涉水建筑，不会对穿越段河流水质造成影响，因此不会影响到下游取水口的水质。本工程管道穿越东河饮用水源准保护区符合《中华人民共和国水污染防治法》和《四川省饮用水水源保护管理条例》的相关规定。</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广元市人民政府出具了《关于中贵线-元坝输气管道工程穿越苍溪县云峰镇王渡社区集中式饮用水水源二级保护区的函》：根据《四川省饮用水水源保护管理条例》等法律法规规定，原则同意该工程拟选线路穿越苍溪县云峰镇王渡社区集中式饮用水水源二级保护区。</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sz w:val="28"/>
          <w:szCs w:val="28"/>
        </w:rPr>
      </w:pPr>
      <w:r>
        <w:rPr>
          <w:rFonts w:hint="default" w:ascii="Times New Roman" w:hAnsi="Times New Roman" w:eastAsia="宋体" w:cs="Times New Roman"/>
          <w:b/>
          <w:bCs/>
          <w:color w:val="auto"/>
          <w:kern w:val="0"/>
          <w:sz w:val="28"/>
          <w:szCs w:val="28"/>
          <w:lang w:val="en-US" w:eastAsia="zh-CN" w:bidi="ar"/>
        </w:rPr>
        <w:t xml:space="preserve">5.7 社会环境影响分析 </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5.7.1 施工期社会环境影响分析 </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5.7.1.1 对居民居住环境影响分析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施工期间，施工噪声及施工扬尘可能短期内对沿线附近的居民生活环境产生一定的影响，根据计算结果，本项目施工期设备噪声声级值以施工管道沿线向外逐渐减弱，距声源 200m 以外挖掘机的噪声声级值已低于 55dB(A)。管线两侧200m 以内的噪声保护目标的声环境在施工期会受到施工噪声的影响，噪声水平有不同程度的增加，噪声值会超过标准限值。施工噪声是短暂的且具有分散性，一般在白天施工，不会对夜间声环境产生影响，在同一工段施工时间为 3-5 天，随着施工期的结束，影响也随之结束。施工单位和建设单位加强施工期的环境管理，尽可能将管道敷设的不良影响降到最低。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5.7.1.2 对农田水利设施的影响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本项目施工期间，由于沿线一般性农灌渠及排涝沟多采用大开挖穿越，施工期短期内会对地方农业环境产生一定的不利影响。管线施工时影响了其较为完善的农田供水管道系统等水利设施，管道施工期间对农业生产和生活有一定的影响。管道在有沟渠等水利设施区域内敷设时加大埋深，并且在施工完成后恢复原状，以减少相互影响。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总体而言，只要建设单位就线路穿越方案与沿线地方水利主管部门及其他有关职能部门协商解决，本项目建设对沿线区域农田水利设施的不利影响可以有效控制。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5.7.1.3 对地方交通环境影响分析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本工程乡村公路穿越26次，总计520m，碎石路和机耕道18次，总计360m，无等级公路穿越。对于乡村公路采用顶管方式进行，碎石路和机耕道采用开挖+混凝土盖板进行，不会对车辆驾驶和居民出行造成影响。但对邻近施工作业场地的道路，可能由于施工运输作业会对地方交通产生一定的影响。此外，由于沿线农业用机耕道及乡村等外级道路多采用大开挖穿越，施工期短期内会对地方居民出行及农作活动产生一定的影响，但由于施工时间短，此影响较小，施工结束后即可恢复。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总体而言，建设单位只要就线路穿越方案与沿线地方交通主管部门积极协调，提前作好于居民的沟通，本项目建设对沿线区域交通环境影响较小。</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5.7.1.4 对居民生活质量的影响</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项目建设需要劳动力资源，可增加当地的就业机会。项目施工过程中可吸纳当地大量的地方民工。施工人员的进驻还可带动当地第三产业的发展，增加当地居民的收入。但是，施工期施工人员的大量进入会使当地的物价有所提高，增加当地居民的生活支出，对当地居民的正常生活造成不利影响。施工人员往往会带来健康与社会问题，包括疾病、生活习性、就业压力等，这些都将影响当地居民的生活方式。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拟建天然气管线尽量避让了城市规划区和集中规划区等居民集中区域，施工期间施工机械的虽然大量进入，但运行中产生的噪声、振动、扬尘等距离集中居民区还有一定距离，因此不会对附近居民的正常生活产生较大干扰。管道施工是分段进行，施工期影响是局部和暂时的，随着施工的结束，造成的影响也随即消除。通过加强与周围居民的沟通，取得谅解，则施工期的影响是可以接受的。</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5.7.1.5 占地拆迁的影响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根据《水土保持方案》，本工程总占地 46.23hm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，其中永久占地 55500m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，，临时占地 37.21hm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 xml:space="preserve">。对于被征用土地，土地补偿费要按照国家以及当地的标准执行，补偿款由建设单位一次性拨付给当地政府统一安排补偿。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由于拆迁房屋散布于项目工程沿线，且拆迁量不大，依托地方政府，采取货币补偿方式就近安置，不专门设拆迁安置区。移民安置采取分散安置的方式，拆迁与安置费用由项目建设单位一次性货币补偿，拆迁与移民安置由当地政府统一组织实施。管道在农田区敷设时，通常要损坏周边农田的小型排水沟和农田田坎，敷设完毕后，需要对毁坏的排水沟和田坎进行恢复。民房的拆迁将直接影响被拆迁居民的日常生活，如拆迁安置不当会使居民的生产生活受到不利影响。但由于拆迁量不大，而且通过合理的补偿兑现后拆迁户能够基本恢复原有的生活质量。因此，项目建设占地拆迁不会产生较大影响。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5.7.2 营运期社会环境影响分析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本项目管道敷设在地下，进行密闭输送，运营后沿线工程扰动区域内的土壤、农作物、道路交通等逐渐恢复。本项目营运期对社会环境不会造成明显影响。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5.7.3 小结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本工程建设过程中将投入大量建设资金，将促进当地餐饮服务业等发展，为当地居民提供了就业渠道和增加收入的来源。施工人员排放的生活垃圾、生活污水、粪便，如不妥善处置，容易引起鼠、蚊、蝇的孳生，造成工区环境卫生质量下降和疾病传播，危害施工人员身体健康，进而影响工程进度。另外施工中产生的三废对现场作业人员身体健康也有一定的影响，需采取防治的对策措施。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同时项目建设征地会对居民的农业生产及经济生活带来一定不利影响。如施工期临时占用耕地、耕地、园地和林地面积减少，在当地居民的生产生活工具受到损失，影响其原有生活水平。工程已考虑补偿、生产设施调配等方案。在具体操作过程中要尽量使受影响村民生活水平不低于原有水平。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项目建成后，可以为沿线县市提供充足稳定的天气气供应，有利于加快沿线的经济建设步伐，全面促进当地经济的发展，项目建设对社会环境影响较小。</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8"/>
          <w:szCs w:val="28"/>
        </w:rPr>
      </w:pPr>
      <w:r>
        <w:rPr>
          <w:rFonts w:hint="default" w:ascii="Times New Roman" w:hAnsi="Times New Roman" w:eastAsia="宋体" w:cs="Times New Roman"/>
          <w:b/>
          <w:bCs/>
          <w:color w:val="auto"/>
          <w:kern w:val="0"/>
          <w:sz w:val="28"/>
          <w:szCs w:val="28"/>
          <w:lang w:val="en-US" w:eastAsia="zh-CN" w:bidi="ar"/>
        </w:rPr>
        <w:t xml:space="preserve">5.8 环境风险评价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5.8.1 总论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本项目起于广元市中土镇大坪村元坝首站，止于陵江清管站，管道总长度为</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 xml:space="preserve">，设计输量为 </w:t>
      </w:r>
      <w:r>
        <w:rPr>
          <w:rFonts w:hint="default" w:ascii="Times New Roman" w:hAnsi="Times New Roman" w:cs="Times New Roman"/>
          <w:color w:val="auto"/>
          <w:kern w:val="0"/>
          <w:sz w:val="24"/>
          <w:szCs w:val="24"/>
          <w:lang w:val="en-US" w:eastAsia="zh-CN" w:bidi="ar"/>
        </w:rPr>
        <w:t>30×10</w:t>
      </w:r>
      <w:r>
        <w:rPr>
          <w:rFonts w:hint="default" w:ascii="Times New Roman" w:hAnsi="Times New Roman" w:eastAsia="宋体" w:cs="Times New Roman"/>
          <w:color w:val="auto"/>
          <w:kern w:val="0"/>
          <w:sz w:val="24"/>
          <w:szCs w:val="24"/>
          <w:vertAlign w:val="superscript"/>
          <w:lang w:val="en-US" w:eastAsia="zh-CN" w:bidi="ar"/>
        </w:rPr>
        <w:t>8</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16"/>
          <w:szCs w:val="16"/>
          <w:lang w:val="en-US" w:eastAsia="zh-CN" w:bidi="ar"/>
        </w:rPr>
        <w:t xml:space="preserve"> </w:t>
      </w:r>
      <w:r>
        <w:rPr>
          <w:rFonts w:hint="default" w:ascii="Times New Roman" w:hAnsi="Times New Roman" w:eastAsia="宋体" w:cs="Times New Roman"/>
          <w:color w:val="auto"/>
          <w:kern w:val="0"/>
          <w:sz w:val="24"/>
          <w:szCs w:val="24"/>
          <w:lang w:val="en-US" w:eastAsia="zh-CN" w:bidi="ar"/>
        </w:rPr>
        <w:t xml:space="preserve">/a，管径D1016，设计压力10.0MPa，改扩建站场1座，新建站场1座。本工程输送的介质主要是净化天然气，天然气是一种无毒、可燃的气体，属易燃、易爆物质，极易在通常环境中引起燃烧和爆炸。逸散的天然气和空气混合，当浓度达到爆炸下限以上时，如遇明火就会发生爆炸，这是天然气事故中危害与损失最大的一种；如果未达到爆炸下限，遇明火则会发生燃烧。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天然气的主要成分是甲烷，含有乙烷、丙烷、异丁烷等，根据介质性质和组分情况，其中对管道安全运输存在影响的是天然气组分中绝大部分的具有火灾爆炸性的气体烷烃。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5.8.1 评价依据 </w:t>
      </w:r>
    </w:p>
    <w:p>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本项目环境风险评价按照《建设项目环境风险评价导则》（HJ169-2018）、《危险化学品重大危险源辨识》（GB18218-2018）、《石油天然气工程设计防火规范》（GB50183-2004）等对本项目环境风险进行分析评价。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5.8.2 评价目的及重点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环境风险评价的目的是分析和预测建设项目存在的潜在危险、有害因素，建设项目建设和运行期间可能发生的突发事件或事故（一般不包括人为破坏及自然灾害），引起有毒有害、易燃易爆等物质泄露，或突发事件产生的新的有毒有害物质，所造成的对人身安全与环境的影响和损害程度，提出合理可行的防范、应急与减缓措施，以使建设项目事故率、损失和环境影响达到可接受水平。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本次环境风险评价将天然气输送过程中发生事故时，对管线沿线和站场周围边界外人群的伤害、环境质量的变化和生态系统影响预测分析，以及防护作为评价重点。</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5.8.3 评价等级及范围 </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5.8.3.1 风险源</w:t>
      </w:r>
    </w:p>
    <w:p>
      <w:pPr>
        <w:keepNext w:val="0"/>
        <w:keepLines w:val="0"/>
        <w:widowControl/>
        <w:suppressLineNumbers w:val="0"/>
        <w:jc w:val="left"/>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kern w:val="0"/>
          <w:sz w:val="24"/>
          <w:szCs w:val="24"/>
          <w:lang w:val="en-US" w:eastAsia="zh-CN" w:bidi="ar"/>
        </w:rPr>
        <w:t>结合本项目特点，将工艺站场和可以控制的两个节点间的管道作为一个风险单元，项目仅线路首位两段设置站场，则项目仅有一个风险单元，长度为</w:t>
      </w:r>
      <w:r>
        <w:rPr>
          <w:rFonts w:hint="eastAsia" w:ascii="Times New Roman" w:hAnsi="Times New Roman" w:cs="Times New Roman"/>
          <w:color w:val="auto"/>
          <w:kern w:val="0"/>
          <w:sz w:val="24"/>
          <w:szCs w:val="24"/>
          <w:lang w:val="en-US" w:eastAsia="zh-CN" w:bidi="ar"/>
        </w:rPr>
        <w:t>14.5km</w:t>
      </w:r>
      <w:r>
        <w:rPr>
          <w:rFonts w:hint="default" w:ascii="Times New Roman" w:hAnsi="Times New Roman" w:eastAsia="宋体" w:cs="Times New Roman"/>
          <w:color w:val="auto"/>
          <w:kern w:val="0"/>
          <w:sz w:val="24"/>
          <w:szCs w:val="24"/>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5.8.3.</w:t>
      </w:r>
      <w:r>
        <w:rPr>
          <w:rFonts w:hint="default" w:ascii="Times New Roman" w:hAnsi="Times New Roman" w:cs="Times New Roman"/>
          <w:b/>
          <w:bCs/>
          <w:color w:val="auto"/>
          <w:kern w:val="0"/>
          <w:sz w:val="24"/>
          <w:szCs w:val="24"/>
          <w:lang w:val="en-US" w:eastAsia="zh-CN" w:bidi="ar"/>
        </w:rPr>
        <w:t>2</w:t>
      </w:r>
      <w:r>
        <w:rPr>
          <w:rFonts w:hint="default" w:ascii="Times New Roman" w:hAnsi="Times New Roman" w:eastAsia="宋体" w:cs="Times New Roman"/>
          <w:b/>
          <w:bCs/>
          <w:color w:val="auto"/>
          <w:kern w:val="0"/>
          <w:sz w:val="24"/>
          <w:szCs w:val="24"/>
          <w:lang w:val="en-US" w:eastAsia="zh-CN" w:bidi="ar"/>
        </w:rPr>
        <w:t xml:space="preserve"> 风险</w:t>
      </w:r>
      <w:r>
        <w:rPr>
          <w:rFonts w:hint="default" w:ascii="Times New Roman" w:hAnsi="Times New Roman" w:cs="Times New Roman"/>
          <w:b/>
          <w:bCs/>
          <w:color w:val="auto"/>
          <w:kern w:val="0"/>
          <w:sz w:val="24"/>
          <w:szCs w:val="24"/>
          <w:lang w:val="en-US" w:eastAsia="zh-CN" w:bidi="ar"/>
        </w:rPr>
        <w:t>目标</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本工程环境风险因素是气态污染物，因此主要环境风险因素是对大气环境的影响。根据《建设项目环境风险评价技术导则(HJ 169-2018)》附录D，本工程环境风险评价范围内敏感目标主要为：居住区、文化教育机构等。 </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5.8.3.</w:t>
      </w:r>
      <w:r>
        <w:rPr>
          <w:rFonts w:hint="default" w:ascii="Times New Roman" w:hAnsi="Times New Roman" w:cs="Times New Roman"/>
          <w:b/>
          <w:bCs/>
          <w:color w:val="auto"/>
          <w:kern w:val="0"/>
          <w:sz w:val="24"/>
          <w:szCs w:val="24"/>
          <w:lang w:val="en-US" w:eastAsia="zh-CN" w:bidi="ar"/>
        </w:rPr>
        <w:t>3</w:t>
      </w:r>
      <w:r>
        <w:rPr>
          <w:rFonts w:hint="default" w:ascii="Times New Roman" w:hAnsi="Times New Roman" w:eastAsia="宋体" w:cs="Times New Roman"/>
          <w:b/>
          <w:bCs/>
          <w:color w:val="auto"/>
          <w:kern w:val="0"/>
          <w:sz w:val="24"/>
          <w:szCs w:val="24"/>
          <w:lang w:val="en-US" w:eastAsia="zh-CN" w:bidi="ar"/>
        </w:rPr>
        <w:t xml:space="preserve"> 风险</w:t>
      </w:r>
      <w:r>
        <w:rPr>
          <w:rFonts w:hint="default" w:ascii="Times New Roman" w:hAnsi="Times New Roman" w:cs="Times New Roman"/>
          <w:b/>
          <w:bCs/>
          <w:color w:val="auto"/>
          <w:kern w:val="0"/>
          <w:sz w:val="24"/>
          <w:szCs w:val="24"/>
          <w:lang w:val="en-US" w:eastAsia="zh-CN" w:bidi="ar"/>
        </w:rPr>
        <w:t>潜势</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根据《建设项目环境风险评价技术导则(HJ 169-2018)》，建设项目环境风险潜势划分为Ⅰ、Ⅱ、Ⅲ、Ⅳ/Ⅳ+级，划分方法具体见</w:t>
      </w:r>
      <w:r>
        <w:rPr>
          <w:rFonts w:hint="default" w:ascii="Times New Roman" w:hAnsi="Times New Roman" w:cs="Times New Roman"/>
          <w:color w:val="auto"/>
          <w:kern w:val="0"/>
          <w:sz w:val="24"/>
          <w:szCs w:val="24"/>
          <w:lang w:val="en-US" w:eastAsia="zh-CN" w:bidi="ar"/>
        </w:rPr>
        <w:t>下</w:t>
      </w:r>
      <w:r>
        <w:rPr>
          <w:rFonts w:hint="default" w:ascii="Times New Roman" w:hAnsi="Times New Roman" w:eastAsia="宋体" w:cs="Times New Roman"/>
          <w:color w:val="auto"/>
          <w:kern w:val="0"/>
          <w:sz w:val="24"/>
          <w:szCs w:val="24"/>
          <w:lang w:val="en-US" w:eastAsia="zh-CN" w:bidi="ar"/>
        </w:rPr>
        <w:t xml:space="preserve">表。风险 潜势与危险物质及工艺系统危险性(P)和环境敏感程度(E)有关。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cs="Times New Roman"/>
          <w:color w:val="auto"/>
          <w:lang w:val="en-US" w:eastAsia="zh-CN"/>
        </w:rPr>
        <w:t>1、危险物质及工艺系统危险性(P)分级</w:t>
      </w:r>
    </w:p>
    <w:p>
      <w:pPr>
        <w:pStyle w:val="2"/>
        <w:ind w:firstLine="801" w:firstLineChars="0"/>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根据《建设项目环境风险评价技术导则》(HJ/T169－2018)，危险物质及工艺系统危害性(P)应根据危险物质数量与临界量的比值(Q)和行业及生产工艺(M)确定。 </w:t>
      </w:r>
    </w:p>
    <w:p>
      <w:pPr>
        <w:spacing w:line="360" w:lineRule="auto"/>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（1）Q 值的确定 </w:t>
      </w:r>
    </w:p>
    <w:p>
      <w:pPr>
        <w:spacing w:line="360" w:lineRule="auto"/>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根据《建设项目环境风险评价技术导则》（HJ/T169-2018）附录 C，本工程 Q 值确定见表 </w:t>
      </w:r>
    </w:p>
    <w:p>
      <w:pPr>
        <w:tabs>
          <w:tab w:val="left" w:pos="377"/>
        </w:tabs>
        <w:spacing w:line="360" w:lineRule="exact"/>
        <w:ind w:firstLine="354" w:firstLineChars="147"/>
        <w:jc w:val="center"/>
        <w:rPr>
          <w:rFonts w:hint="default" w:ascii="Times New Roman" w:hAnsi="Times New Roman" w:eastAsia="宋体" w:cs="Times New Roman"/>
          <w:b/>
          <w:color w:val="auto"/>
          <w:lang w:val="en-US" w:eastAsia="zh-CN"/>
        </w:rPr>
      </w:pPr>
      <w:r>
        <w:rPr>
          <w:rFonts w:hint="default" w:ascii="Times New Roman" w:hAnsi="Times New Roman" w:eastAsia="宋体" w:cs="Times New Roman"/>
          <w:b/>
          <w:color w:val="auto"/>
          <w:lang w:val="en-US" w:eastAsia="zh-CN"/>
        </w:rPr>
        <w:t xml:space="preserve">表 1.6-6 建设项目 Q 值确定表 </w:t>
      </w:r>
    </w:p>
    <w:tbl>
      <w:tblPr>
        <w:tblStyle w:val="24"/>
        <w:tblW w:w="4997" w:type="pct"/>
        <w:jc w:val="center"/>
        <w:shd w:val="clear" w:color="auto" w:fill="auto"/>
        <w:tblLayout w:type="autofit"/>
        <w:tblCellMar>
          <w:top w:w="0" w:type="dxa"/>
          <w:left w:w="108" w:type="dxa"/>
          <w:bottom w:w="0" w:type="dxa"/>
          <w:right w:w="108" w:type="dxa"/>
        </w:tblCellMar>
      </w:tblPr>
      <w:tblGrid>
        <w:gridCol w:w="1935"/>
        <w:gridCol w:w="1574"/>
        <w:gridCol w:w="2624"/>
        <w:gridCol w:w="1856"/>
        <w:gridCol w:w="1179"/>
      </w:tblGrid>
      <w:tr>
        <w:tblPrEx>
          <w:shd w:val="clear" w:color="auto" w:fill="auto"/>
          <w:tblCellMar>
            <w:top w:w="0" w:type="dxa"/>
            <w:left w:w="108" w:type="dxa"/>
            <w:bottom w:w="0" w:type="dxa"/>
            <w:right w:w="108" w:type="dxa"/>
          </w:tblCellMar>
        </w:tblPrEx>
        <w:trPr>
          <w:trHeight w:val="540" w:hRule="atLeast"/>
          <w:jc w:val="center"/>
        </w:trPr>
        <w:tc>
          <w:tcPr>
            <w:tcW w:w="10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危险物质名称</w:t>
            </w:r>
          </w:p>
        </w:tc>
        <w:tc>
          <w:tcPr>
            <w:tcW w:w="8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CAS号</w:t>
            </w:r>
          </w:p>
        </w:tc>
        <w:tc>
          <w:tcPr>
            <w:tcW w:w="1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最大存在总量</w:t>
            </w:r>
            <w:r>
              <w:rPr>
                <w:rStyle w:val="77"/>
                <w:rFonts w:hint="default" w:ascii="Times New Roman" w:hAnsi="Times New Roman" w:eastAsia="宋体" w:cs="Times New Roman"/>
                <w:color w:val="auto"/>
                <w:sz w:val="21"/>
                <w:szCs w:val="21"/>
                <w:lang w:val="en-US" w:eastAsia="zh-CN" w:bidi="ar"/>
              </w:rPr>
              <w:t>qn/t</w:t>
            </w:r>
          </w:p>
        </w:tc>
        <w:tc>
          <w:tcPr>
            <w:tcW w:w="10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临界量</w:t>
            </w:r>
            <w:r>
              <w:rPr>
                <w:rStyle w:val="77"/>
                <w:rFonts w:hint="default" w:ascii="Times New Roman" w:hAnsi="Times New Roman" w:eastAsia="宋体" w:cs="Times New Roman"/>
                <w:color w:val="auto"/>
                <w:sz w:val="21"/>
                <w:szCs w:val="21"/>
                <w:lang w:val="en-US" w:eastAsia="zh-CN" w:bidi="ar"/>
              </w:rPr>
              <w:t>Qn/t</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iCs/>
                <w:color w:val="auto"/>
                <w:kern w:val="0"/>
                <w:sz w:val="21"/>
                <w:szCs w:val="21"/>
                <w:u w:val="none"/>
                <w:lang w:val="en-US" w:eastAsia="zh-CN" w:bidi="ar"/>
              </w:rPr>
              <w:t>Q</w:t>
            </w:r>
            <w:r>
              <w:rPr>
                <w:rFonts w:hint="default" w:ascii="Times New Roman" w:hAnsi="Times New Roman" w:eastAsia="宋体" w:cs="Times New Roman"/>
                <w:i w:val="0"/>
                <w:iCs w:val="0"/>
                <w:color w:val="auto"/>
                <w:kern w:val="0"/>
                <w:sz w:val="21"/>
                <w:szCs w:val="21"/>
                <w:u w:val="none"/>
                <w:lang w:val="en-US" w:eastAsia="zh-CN" w:bidi="ar"/>
              </w:rPr>
              <w:t>值</w:t>
            </w:r>
          </w:p>
        </w:tc>
      </w:tr>
      <w:tr>
        <w:tblPrEx>
          <w:shd w:val="clear" w:color="auto" w:fill="auto"/>
          <w:tblCellMar>
            <w:top w:w="0" w:type="dxa"/>
            <w:left w:w="108" w:type="dxa"/>
            <w:bottom w:w="0" w:type="dxa"/>
            <w:right w:w="108" w:type="dxa"/>
          </w:tblCellMar>
        </w:tblPrEx>
        <w:trPr>
          <w:trHeight w:val="270" w:hRule="atLeast"/>
          <w:jc w:val="center"/>
        </w:trPr>
        <w:tc>
          <w:tcPr>
            <w:tcW w:w="10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天然气</w:t>
            </w:r>
          </w:p>
        </w:tc>
        <w:tc>
          <w:tcPr>
            <w:tcW w:w="8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74-82-8</w:t>
            </w:r>
          </w:p>
        </w:tc>
        <w:tc>
          <w:tcPr>
            <w:tcW w:w="1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589.68</w:t>
            </w:r>
          </w:p>
        </w:tc>
        <w:tc>
          <w:tcPr>
            <w:tcW w:w="10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58.97</w:t>
            </w:r>
          </w:p>
        </w:tc>
      </w:tr>
      <w:tr>
        <w:tblPrEx>
          <w:shd w:val="clear" w:color="auto" w:fill="auto"/>
          <w:tblCellMar>
            <w:top w:w="0" w:type="dxa"/>
            <w:left w:w="108" w:type="dxa"/>
            <w:bottom w:w="0" w:type="dxa"/>
            <w:right w:w="108" w:type="dxa"/>
          </w:tblCellMar>
        </w:tblPrEx>
        <w:trPr>
          <w:trHeight w:val="270" w:hRule="atLeast"/>
          <w:jc w:val="center"/>
        </w:trPr>
        <w:tc>
          <w:tcPr>
            <w:tcW w:w="4356"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项目</w:t>
            </w:r>
            <w:r>
              <w:rPr>
                <w:rFonts w:hint="default" w:ascii="Times New Roman" w:hAnsi="Times New Roman" w:eastAsia="宋体" w:cs="Times New Roman"/>
                <w:i/>
                <w:iCs/>
                <w:color w:val="auto"/>
                <w:kern w:val="0"/>
                <w:sz w:val="21"/>
                <w:szCs w:val="21"/>
                <w:u w:val="none"/>
                <w:lang w:val="en-US" w:eastAsia="zh-CN" w:bidi="ar"/>
              </w:rPr>
              <w:t>Q</w:t>
            </w:r>
            <w:r>
              <w:rPr>
                <w:rFonts w:hint="default" w:ascii="Times New Roman" w:hAnsi="Times New Roman" w:eastAsia="宋体" w:cs="Times New Roman"/>
                <w:i w:val="0"/>
                <w:iCs w:val="0"/>
                <w:color w:val="auto"/>
                <w:kern w:val="0"/>
                <w:sz w:val="21"/>
                <w:szCs w:val="21"/>
                <w:u w:val="none"/>
                <w:lang w:val="en-US" w:eastAsia="zh-CN" w:bidi="ar"/>
              </w:rPr>
              <w:t>值和</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58.97</w:t>
            </w:r>
          </w:p>
        </w:tc>
      </w:tr>
    </w:tbl>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因此，本工程</w:t>
      </w:r>
      <w:r>
        <w:rPr>
          <w:rFonts w:hint="default" w:ascii="Times New Roman" w:hAnsi="Times New Roman" w:eastAsia="宋体" w:cs="Times New Roman"/>
          <w:i/>
          <w:iCs/>
          <w:color w:val="auto"/>
          <w:kern w:val="0"/>
          <w:sz w:val="24"/>
          <w:szCs w:val="24"/>
          <w:lang w:val="en-US" w:eastAsia="zh-CN" w:bidi="ar"/>
        </w:rPr>
        <w:t>Q</w:t>
      </w:r>
      <w:r>
        <w:rPr>
          <w:rFonts w:hint="default" w:ascii="Times New Roman" w:hAnsi="Times New Roman" w:eastAsia="宋体" w:cs="Times New Roman"/>
          <w:color w:val="auto"/>
          <w:kern w:val="0"/>
          <w:sz w:val="24"/>
          <w:szCs w:val="24"/>
          <w:lang w:val="en-US" w:eastAsia="zh-CN" w:bidi="ar"/>
        </w:rPr>
        <w:t>值=58.97，属于10≤Q＜100分类。</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2）M 值的确定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根据《建设项目环境风险评价技术导则》(HJ/T169-2018)附录 C，本工程行业为石油天然气及其他，且长输管道运输项目应按站场、管线分段进行评价，因此不需对项目 M 值进行加和。本工程M值情况见表</w:t>
      </w:r>
    </w:p>
    <w:p>
      <w:pPr>
        <w:tabs>
          <w:tab w:val="left" w:pos="377"/>
        </w:tabs>
        <w:spacing w:line="360" w:lineRule="exact"/>
        <w:ind w:firstLine="354" w:firstLineChars="147"/>
        <w:jc w:val="center"/>
        <w:rPr>
          <w:rFonts w:hint="default" w:ascii="Times New Roman" w:hAnsi="Times New Roman" w:eastAsia="宋体" w:cs="Times New Roman"/>
          <w:b/>
          <w:color w:val="auto"/>
          <w:lang w:val="en-US" w:eastAsia="zh-CN"/>
        </w:rPr>
      </w:pPr>
      <w:r>
        <w:rPr>
          <w:rFonts w:hint="default" w:ascii="Times New Roman" w:hAnsi="Times New Roman" w:eastAsia="宋体" w:cs="Times New Roman"/>
          <w:b/>
          <w:color w:val="auto"/>
          <w:lang w:val="en-US" w:eastAsia="zh-CN"/>
        </w:rPr>
        <w:t>表 1.6-7 建设项目 M 值确定表</w:t>
      </w:r>
    </w:p>
    <w:tbl>
      <w:tblPr>
        <w:tblStyle w:val="24"/>
        <w:tblW w:w="4996" w:type="pct"/>
        <w:jc w:val="center"/>
        <w:shd w:val="clear" w:color="auto" w:fill="auto"/>
        <w:tblLayout w:type="autofit"/>
        <w:tblCellMar>
          <w:top w:w="0" w:type="dxa"/>
          <w:left w:w="108" w:type="dxa"/>
          <w:bottom w:w="0" w:type="dxa"/>
          <w:right w:w="108" w:type="dxa"/>
        </w:tblCellMar>
      </w:tblPr>
      <w:tblGrid>
        <w:gridCol w:w="1161"/>
        <w:gridCol w:w="2425"/>
        <w:gridCol w:w="2548"/>
        <w:gridCol w:w="1853"/>
        <w:gridCol w:w="1180"/>
      </w:tblGrid>
      <w:tr>
        <w:tblPrEx>
          <w:shd w:val="clear" w:color="auto" w:fill="auto"/>
          <w:tblCellMar>
            <w:top w:w="0" w:type="dxa"/>
            <w:left w:w="108" w:type="dxa"/>
            <w:bottom w:w="0" w:type="dxa"/>
            <w:right w:w="108" w:type="dxa"/>
          </w:tblCellMar>
        </w:tblPrEx>
        <w:trPr>
          <w:trHeight w:val="300" w:hRule="atLeast"/>
          <w:jc w:val="center"/>
        </w:trPr>
        <w:tc>
          <w:tcPr>
            <w:tcW w:w="6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序号</w:t>
            </w:r>
          </w:p>
        </w:tc>
        <w:tc>
          <w:tcPr>
            <w:tcW w:w="1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工艺单元名称</w:t>
            </w:r>
          </w:p>
        </w:tc>
        <w:tc>
          <w:tcPr>
            <w:tcW w:w="13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生产工艺</w:t>
            </w:r>
          </w:p>
        </w:tc>
        <w:tc>
          <w:tcPr>
            <w:tcW w:w="10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数量/套</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M分值</w:t>
            </w:r>
          </w:p>
        </w:tc>
      </w:tr>
      <w:tr>
        <w:tblPrEx>
          <w:tblCellMar>
            <w:top w:w="0" w:type="dxa"/>
            <w:left w:w="108" w:type="dxa"/>
            <w:bottom w:w="0" w:type="dxa"/>
            <w:right w:w="108" w:type="dxa"/>
          </w:tblCellMar>
        </w:tblPrEx>
        <w:trPr>
          <w:trHeight w:val="300" w:hRule="atLeast"/>
          <w:jc w:val="center"/>
        </w:trPr>
        <w:tc>
          <w:tcPr>
            <w:tcW w:w="6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1</w:t>
            </w:r>
          </w:p>
        </w:tc>
        <w:tc>
          <w:tcPr>
            <w:tcW w:w="1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石油天然气</w:t>
            </w:r>
          </w:p>
        </w:tc>
        <w:tc>
          <w:tcPr>
            <w:tcW w:w="13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油气管线</w:t>
            </w:r>
          </w:p>
        </w:tc>
        <w:tc>
          <w:tcPr>
            <w:tcW w:w="10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1</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10</w:t>
            </w:r>
          </w:p>
        </w:tc>
      </w:tr>
      <w:tr>
        <w:tblPrEx>
          <w:tblCellMar>
            <w:top w:w="0" w:type="dxa"/>
            <w:left w:w="108" w:type="dxa"/>
            <w:bottom w:w="0" w:type="dxa"/>
            <w:right w:w="108" w:type="dxa"/>
          </w:tblCellMar>
        </w:tblPrEx>
        <w:trPr>
          <w:trHeight w:val="300" w:hRule="atLeast"/>
          <w:jc w:val="center"/>
        </w:trPr>
        <w:tc>
          <w:tcPr>
            <w:tcW w:w="6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2</w:t>
            </w:r>
          </w:p>
        </w:tc>
        <w:tc>
          <w:tcPr>
            <w:tcW w:w="1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其他</w:t>
            </w:r>
          </w:p>
        </w:tc>
        <w:tc>
          <w:tcPr>
            <w:tcW w:w="13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输气站场</w:t>
            </w:r>
          </w:p>
        </w:tc>
        <w:tc>
          <w:tcPr>
            <w:tcW w:w="10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1</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5</w:t>
            </w:r>
          </w:p>
        </w:tc>
      </w:tr>
    </w:tbl>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因此，本工程 M=10。根据划分依据，属于M3（5＜M≤10）。</w:t>
      </w:r>
    </w:p>
    <w:p>
      <w:pPr>
        <w:keepNext w:val="0"/>
        <w:keepLines w:val="0"/>
        <w:widowControl/>
        <w:numPr>
          <w:ilvl w:val="0"/>
          <w:numId w:val="3"/>
        </w:numPr>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P 的确定</w:t>
      </w:r>
    </w:p>
    <w:p>
      <w:pPr>
        <w:keepNext w:val="0"/>
        <w:keepLines w:val="0"/>
        <w:widowControl/>
        <w:numPr>
          <w:ilvl w:val="0"/>
          <w:numId w:val="0"/>
        </w:numPr>
        <w:suppressLineNumbers w:val="0"/>
        <w:ind w:firstLine="480" w:firstLineChars="20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本工程 10≤Q=58.97＜100，M 属 M3，根据《建设项目环境风险评价技术导则》（HJ/T169-2018）附录 C 中 P 的确定依据，项目危险物质及工艺系统危害性（P）的等级为中度危害 P3。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4）环境敏感程度(E)分级根据《建设项目环境风险评价技术导则(HJ 169-2018)》附录 D 对本工程环境敏感程度进行分级。本工程为天然气输送管道，根据管道沿线及各站场周围人口分布情况，大气环境敏感程度属于 E2（环境中度敏感区）。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5）本工程环境风险潜势 </w:t>
      </w:r>
    </w:p>
    <w:p>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根据《建设项目环境风险评价技术导则（HJ 169-2018）》,建设项目环境 风险潜势划分原则，项目大气环境风险潜势划分为</w:t>
      </w:r>
      <w:r>
        <w:rPr>
          <w:rFonts w:hint="default" w:ascii="Times New Roman" w:hAnsi="Times New Roman" w:eastAsia="宋体" w:cs="Times New Roman"/>
          <w:i w:val="0"/>
          <w:iCs w:val="0"/>
          <w:color w:val="auto"/>
          <w:kern w:val="0"/>
          <w:sz w:val="21"/>
          <w:szCs w:val="21"/>
          <w:u w:val="none"/>
          <w:lang w:val="en-US" w:eastAsia="zh-CN" w:bidi="ar"/>
        </w:rPr>
        <w:t>Ⅲ</w:t>
      </w:r>
      <w:r>
        <w:rPr>
          <w:rFonts w:hint="default" w:ascii="Times New Roman" w:hAnsi="Times New Roman" w:eastAsia="宋体" w:cs="Times New Roman"/>
          <w:color w:val="auto"/>
          <w:kern w:val="0"/>
          <w:sz w:val="24"/>
          <w:szCs w:val="24"/>
          <w:lang w:val="en-US" w:eastAsia="zh-CN" w:bidi="ar"/>
        </w:rPr>
        <w:t>级。</w:t>
      </w:r>
    </w:p>
    <w:p>
      <w:pPr>
        <w:tabs>
          <w:tab w:val="left" w:pos="377"/>
        </w:tabs>
        <w:spacing w:line="360" w:lineRule="exact"/>
        <w:ind w:firstLine="354" w:firstLineChars="147"/>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b/>
          <w:color w:val="auto"/>
          <w:lang w:val="en-US" w:eastAsia="zh-CN"/>
        </w:rPr>
        <w:t>建设项目环境风险潜势划分</w:t>
      </w:r>
    </w:p>
    <w:tbl>
      <w:tblPr>
        <w:tblStyle w:val="24"/>
        <w:tblW w:w="4996" w:type="pct"/>
        <w:jc w:val="center"/>
        <w:shd w:val="clear" w:color="auto" w:fill="auto"/>
        <w:tblLayout w:type="autofit"/>
        <w:tblCellMar>
          <w:top w:w="0" w:type="dxa"/>
          <w:left w:w="108" w:type="dxa"/>
          <w:bottom w:w="0" w:type="dxa"/>
          <w:right w:w="108" w:type="dxa"/>
        </w:tblCellMar>
      </w:tblPr>
      <w:tblGrid>
        <w:gridCol w:w="2350"/>
        <w:gridCol w:w="1678"/>
        <w:gridCol w:w="1835"/>
        <w:gridCol w:w="1810"/>
        <w:gridCol w:w="1494"/>
      </w:tblGrid>
      <w:tr>
        <w:tblPrEx>
          <w:shd w:val="clear" w:color="auto" w:fill="auto"/>
        </w:tblPrEx>
        <w:trPr>
          <w:trHeight w:val="270" w:hRule="atLeast"/>
          <w:jc w:val="center"/>
        </w:trPr>
        <w:tc>
          <w:tcPr>
            <w:tcW w:w="12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环境敏感程度（E）</w:t>
            </w:r>
          </w:p>
        </w:tc>
        <w:tc>
          <w:tcPr>
            <w:tcW w:w="3717"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危险物质及工艺系统危险性（P）</w:t>
            </w:r>
          </w:p>
        </w:tc>
      </w:tr>
      <w:tr>
        <w:tblPrEx>
          <w:shd w:val="clear" w:color="auto" w:fill="auto"/>
          <w:tblCellMar>
            <w:top w:w="0" w:type="dxa"/>
            <w:left w:w="108" w:type="dxa"/>
            <w:bottom w:w="0" w:type="dxa"/>
            <w:right w:w="108" w:type="dxa"/>
          </w:tblCellMar>
        </w:tblPrEx>
        <w:trPr>
          <w:trHeight w:val="540" w:hRule="atLeast"/>
          <w:jc w:val="center"/>
        </w:trPr>
        <w:tc>
          <w:tcPr>
            <w:tcW w:w="12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宋体" w:cs="Times New Roman"/>
                <w:i w:val="0"/>
                <w:iCs w:val="0"/>
                <w:color w:val="auto"/>
                <w:sz w:val="21"/>
                <w:szCs w:val="21"/>
                <w:u w:val="none"/>
              </w:rPr>
            </w:pPr>
          </w:p>
        </w:tc>
        <w:tc>
          <w:tcPr>
            <w:tcW w:w="91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极高危害（P1）</w:t>
            </w:r>
          </w:p>
        </w:tc>
        <w:tc>
          <w:tcPr>
            <w:tcW w:w="10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高度危害（P2）</w:t>
            </w:r>
          </w:p>
        </w:tc>
        <w:tc>
          <w:tcPr>
            <w:tcW w:w="9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中度危害（P3）</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轻度危害（P4）</w:t>
            </w:r>
          </w:p>
        </w:tc>
      </w:tr>
      <w:tr>
        <w:tblPrEx>
          <w:shd w:val="clear" w:color="auto" w:fill="auto"/>
          <w:tblCellMar>
            <w:top w:w="0" w:type="dxa"/>
            <w:left w:w="108" w:type="dxa"/>
            <w:bottom w:w="0" w:type="dxa"/>
            <w:right w:w="108" w:type="dxa"/>
          </w:tblCellMar>
        </w:tblPrEx>
        <w:trPr>
          <w:trHeight w:val="540" w:hRule="atLeast"/>
          <w:jc w:val="center"/>
        </w:trPr>
        <w:tc>
          <w:tcPr>
            <w:tcW w:w="12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环境高度敏感程度（E1）</w:t>
            </w:r>
          </w:p>
        </w:tc>
        <w:tc>
          <w:tcPr>
            <w:tcW w:w="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Ⅳ+</w:t>
            </w:r>
          </w:p>
        </w:tc>
        <w:tc>
          <w:tcPr>
            <w:tcW w:w="10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Ⅳ</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Ⅲ</w:t>
            </w:r>
          </w:p>
        </w:tc>
        <w:tc>
          <w:tcPr>
            <w:tcW w:w="8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Ⅲ</w:t>
            </w:r>
          </w:p>
        </w:tc>
      </w:tr>
      <w:tr>
        <w:tblPrEx>
          <w:shd w:val="clear" w:color="auto" w:fill="auto"/>
          <w:tblCellMar>
            <w:top w:w="0" w:type="dxa"/>
            <w:left w:w="108" w:type="dxa"/>
            <w:bottom w:w="0" w:type="dxa"/>
            <w:right w:w="108" w:type="dxa"/>
          </w:tblCellMar>
        </w:tblPrEx>
        <w:trPr>
          <w:trHeight w:val="540" w:hRule="atLeast"/>
          <w:jc w:val="center"/>
        </w:trPr>
        <w:tc>
          <w:tcPr>
            <w:tcW w:w="12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环境中度敏感程度（E2）</w:t>
            </w:r>
          </w:p>
        </w:tc>
        <w:tc>
          <w:tcPr>
            <w:tcW w:w="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Ⅳ</w:t>
            </w:r>
          </w:p>
        </w:tc>
        <w:tc>
          <w:tcPr>
            <w:tcW w:w="10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Ⅲ</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Ⅲ</w:t>
            </w:r>
          </w:p>
        </w:tc>
        <w:tc>
          <w:tcPr>
            <w:tcW w:w="8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Ⅱ</w:t>
            </w:r>
          </w:p>
        </w:tc>
      </w:tr>
      <w:tr>
        <w:tblPrEx>
          <w:shd w:val="clear" w:color="auto" w:fill="auto"/>
          <w:tblCellMar>
            <w:top w:w="0" w:type="dxa"/>
            <w:left w:w="108" w:type="dxa"/>
            <w:bottom w:w="0" w:type="dxa"/>
            <w:right w:w="108" w:type="dxa"/>
          </w:tblCellMar>
        </w:tblPrEx>
        <w:trPr>
          <w:trHeight w:val="540" w:hRule="atLeast"/>
          <w:jc w:val="center"/>
        </w:trPr>
        <w:tc>
          <w:tcPr>
            <w:tcW w:w="12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环境低度敏感程度（E3）</w:t>
            </w:r>
          </w:p>
        </w:tc>
        <w:tc>
          <w:tcPr>
            <w:tcW w:w="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Ⅲ</w:t>
            </w:r>
          </w:p>
        </w:tc>
        <w:tc>
          <w:tcPr>
            <w:tcW w:w="10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Ⅲ</w:t>
            </w:r>
          </w:p>
        </w:tc>
        <w:tc>
          <w:tcPr>
            <w:tcW w:w="9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Ⅱ</w:t>
            </w:r>
          </w:p>
        </w:tc>
        <w:tc>
          <w:tcPr>
            <w:tcW w:w="8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Ⅰ</w:t>
            </w:r>
          </w:p>
        </w:tc>
      </w:tr>
      <w:tr>
        <w:tblPrEx>
          <w:shd w:val="clear" w:color="auto" w:fill="auto"/>
          <w:tblCellMar>
            <w:top w:w="0" w:type="dxa"/>
            <w:left w:w="108" w:type="dxa"/>
            <w:bottom w:w="0" w:type="dxa"/>
            <w:right w:w="108" w:type="dxa"/>
          </w:tblCellMar>
        </w:tblPrEx>
        <w:trPr>
          <w:trHeight w:val="270" w:hRule="atLeast"/>
          <w:jc w:val="center"/>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left="0" w:leftChars="0"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注：Ⅳ+为极高环境风险</w:t>
            </w:r>
          </w:p>
        </w:tc>
      </w:tr>
    </w:tbl>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按照《建设项目环境风险评价技术导则》(HJ/T 169-2018)中评价工作等级划分原则，建设项目环境风险潜势为</w:t>
      </w:r>
      <w:r>
        <w:rPr>
          <w:rFonts w:hint="default" w:ascii="Times New Roman" w:hAnsi="Times New Roman" w:eastAsia="宋体" w:cs="Times New Roman"/>
          <w:i w:val="0"/>
          <w:iCs w:val="0"/>
          <w:color w:val="auto"/>
          <w:kern w:val="0"/>
          <w:sz w:val="21"/>
          <w:szCs w:val="21"/>
          <w:u w:val="none"/>
          <w:lang w:val="en-US" w:eastAsia="zh-CN" w:bidi="ar"/>
        </w:rPr>
        <w:t>Ⅲ，</w:t>
      </w:r>
      <w:r>
        <w:rPr>
          <w:rFonts w:hint="default" w:ascii="Times New Roman" w:hAnsi="Times New Roman" w:eastAsia="宋体" w:cs="Times New Roman"/>
          <w:color w:val="auto"/>
          <w:kern w:val="0"/>
          <w:sz w:val="24"/>
          <w:szCs w:val="24"/>
          <w:lang w:val="en-US" w:eastAsia="zh-CN" w:bidi="ar"/>
        </w:rPr>
        <w:t>进行二级评价，见表 1.6-9。因此，确定本工程环境风险评价工作等级为二级。</w:t>
      </w:r>
    </w:p>
    <w:p>
      <w:pPr>
        <w:tabs>
          <w:tab w:val="left" w:pos="377"/>
        </w:tabs>
        <w:spacing w:line="360" w:lineRule="exact"/>
        <w:ind w:firstLine="354" w:firstLineChars="147"/>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评价工作等级划分</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4"/>
        <w:gridCol w:w="1835"/>
        <w:gridCol w:w="1835"/>
        <w:gridCol w:w="1835"/>
        <w:gridCol w:w="1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834"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环境风险潜势</w:t>
            </w:r>
          </w:p>
        </w:tc>
        <w:tc>
          <w:tcPr>
            <w:tcW w:w="1835"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IV、IV+</w:t>
            </w:r>
          </w:p>
        </w:tc>
        <w:tc>
          <w:tcPr>
            <w:tcW w:w="1835"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III</w:t>
            </w:r>
          </w:p>
        </w:tc>
        <w:tc>
          <w:tcPr>
            <w:tcW w:w="1835"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II</w:t>
            </w:r>
          </w:p>
        </w:tc>
        <w:tc>
          <w:tcPr>
            <w:tcW w:w="1835"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834"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评价工作等级</w:t>
            </w:r>
          </w:p>
        </w:tc>
        <w:tc>
          <w:tcPr>
            <w:tcW w:w="1835"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一</w:t>
            </w:r>
          </w:p>
        </w:tc>
        <w:tc>
          <w:tcPr>
            <w:tcW w:w="1835"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二</w:t>
            </w:r>
          </w:p>
        </w:tc>
        <w:tc>
          <w:tcPr>
            <w:tcW w:w="1835"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三</w:t>
            </w:r>
          </w:p>
        </w:tc>
        <w:tc>
          <w:tcPr>
            <w:tcW w:w="1835" w:type="dxa"/>
            <w:vAlign w:val="center"/>
          </w:tcPr>
          <w:p>
            <w:pPr>
              <w:keepNext w:val="0"/>
              <w:keepLines w:val="0"/>
              <w:pageBreakBefore w:val="0"/>
              <w:widowControl w:val="0"/>
              <w:tabs>
                <w:tab w:val="left" w:pos="377"/>
              </w:tabs>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174" w:type="dxa"/>
            <w:gridSpan w:val="5"/>
            <w:vAlign w:val="center"/>
          </w:tcPr>
          <w:p>
            <w:pPr>
              <w:pStyle w:val="23"/>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a是相对详细评价工作内容而言，在描述危险物质、环境影响途径、环境危害后果、风险防范措施等方面给出定性的说明。</w:t>
            </w:r>
          </w:p>
        </w:tc>
      </w:tr>
    </w:tbl>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2、 评价范围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评价范围为管道中心线两侧各 200m 及站场周围 5km 的范围</w:t>
      </w:r>
    </w:p>
    <w:p>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5.8.3.</w:t>
      </w:r>
      <w:r>
        <w:rPr>
          <w:rFonts w:hint="default" w:ascii="Times New Roman" w:hAnsi="Times New Roman" w:cs="Times New Roman"/>
          <w:b/>
          <w:bCs/>
          <w:color w:val="auto"/>
          <w:kern w:val="0"/>
          <w:sz w:val="24"/>
          <w:szCs w:val="24"/>
          <w:lang w:val="en-US" w:eastAsia="zh-CN" w:bidi="ar"/>
        </w:rPr>
        <w:t>4</w:t>
      </w:r>
      <w:r>
        <w:rPr>
          <w:rFonts w:hint="default" w:ascii="Times New Roman" w:hAnsi="Times New Roman" w:eastAsia="宋体" w:cs="Times New Roman"/>
          <w:b/>
          <w:bCs/>
          <w:color w:val="auto"/>
          <w:kern w:val="0"/>
          <w:sz w:val="24"/>
          <w:szCs w:val="24"/>
          <w:lang w:val="en-US" w:eastAsia="zh-CN" w:bidi="ar"/>
        </w:rPr>
        <w:t xml:space="preserve"> 风险</w:t>
      </w:r>
      <w:r>
        <w:rPr>
          <w:rFonts w:hint="default" w:ascii="Times New Roman" w:hAnsi="Times New Roman" w:cs="Times New Roman"/>
          <w:b/>
          <w:bCs/>
          <w:color w:val="auto"/>
          <w:kern w:val="0"/>
          <w:sz w:val="24"/>
          <w:szCs w:val="24"/>
          <w:lang w:val="en-US" w:eastAsia="zh-CN" w:bidi="ar"/>
        </w:rPr>
        <w:t>识别</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1）天然气特性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《石油天然气工程设计防火规范》（GB50183-2004）将天然气的火灾危险性列为甲 B 类。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天然气具有以下特性：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（1） 易燃性：本工程输送的天然气中的甲烷，根据《石油天然气工程设计防火规范》（GB 50183－2004），甲烷气体属于甲 B 类火灾危险性物质，其闪点很低，为-190℃，在空气中只要很小的点火能量就会闪光燃烧，而且燃烧速率很快，是燃烧危险性很大的化学品。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 易爆性：天然气引燃温度组别：T3，引燃温度 482～632℃，天然气的爆炸极限为 5～15％，爆炸范围较宽，爆炸下限较低，泄漏到空气中能形成爆炸性混合物，遇明火、高热极易燃烧爆炸，燃烧分解产物为 CO、CO</w:t>
      </w:r>
      <w:r>
        <w:rPr>
          <w:rFonts w:hint="default" w:ascii="Times New Roman" w:hAnsi="Times New Roman" w:eastAsia="宋体" w:cs="Times New Roman"/>
          <w:color w:val="auto"/>
          <w:kern w:val="0"/>
          <w:sz w:val="12"/>
          <w:szCs w:val="12"/>
          <w:lang w:val="en-US" w:eastAsia="zh-CN" w:bidi="ar"/>
        </w:rPr>
        <w:t>2</w:t>
      </w:r>
      <w:r>
        <w:rPr>
          <w:rFonts w:hint="default" w:ascii="Times New Roman" w:hAnsi="Times New Roman" w:eastAsia="宋体" w:cs="Times New Roman"/>
          <w:color w:val="auto"/>
          <w:kern w:val="0"/>
          <w:sz w:val="24"/>
          <w:szCs w:val="24"/>
          <w:lang w:val="en-US" w:eastAsia="zh-CN" w:bidi="ar"/>
        </w:rPr>
        <w:t xml:space="preserve">。在贮运过程中，若遇高热，容器内压增大，有开裂和爆炸的危险。天然气在输气管线里和空气混合发生爆炸时，就会出现迅速着火爆燃现象，火焰传播速度将超过音速而达到 1000m/s～4000m/s。该爆炸现象的产生是由于着火介质中有冲击波产生，并迅速运动，致使介质温度、压力和密度急剧增大，破坏力增强。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（3） 扩散性：天然气具易挥发的特点，并且密度比空气小，泄漏后不易留在低洼处，有较好的扩散性。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（4）腐蚀性：本工程输送管道气含有 CO</w:t>
      </w:r>
      <w:r>
        <w:rPr>
          <w:rFonts w:hint="default" w:ascii="Times New Roman" w:hAnsi="Times New Roman" w:eastAsia="宋体" w:cs="Times New Roman"/>
          <w:color w:val="auto"/>
          <w:kern w:val="0"/>
          <w:sz w:val="12"/>
          <w:szCs w:val="12"/>
          <w:lang w:val="en-US" w:eastAsia="zh-CN" w:bidi="ar"/>
        </w:rPr>
        <w:t>2</w:t>
      </w:r>
      <w:r>
        <w:rPr>
          <w:rFonts w:hint="default" w:ascii="Times New Roman" w:hAnsi="Times New Roman" w:eastAsia="宋体" w:cs="Times New Roman"/>
          <w:color w:val="auto"/>
          <w:kern w:val="0"/>
          <w:sz w:val="24"/>
          <w:szCs w:val="24"/>
          <w:lang w:val="en-US" w:eastAsia="zh-CN" w:bidi="ar"/>
        </w:rPr>
        <w:t>，若输送介质的水露点控制不当，易对管道造成酸性腐蚀。硫化氢应力腐蚀是一种低应力破坏，根据物性，钢管与硫化氢水溶液或与含硫化氢的湿天然气相接触时，硫化氢气体和水造成一个酸性环境，发生电化学腐蚀，产生氢原子在钢材中扩散，遇到裂缝、空隙、晶格层间错断、夹杂或其它钢材缺陷时，便聚结结合成为氢分子。氢分子的体积是原子的 20 倍，这造成极大的应力，使钢材鼓包和变脆。当钢材塑性好、强度低时钢材表面出现泡迹，当钢材强度大、硬度高时则塑性变形小而产生氢脆裂纹。</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本工程介质中硫化氢的含量相对较低，发生硫化物应力腐蚀的影响程度比较小（硫化氢分压低于0.0001MPa 时或当硫化氢浓度在 6mg/m3以下，不会发生硫化氢的腐蚀，硫化氢浓度在 20mg/m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以下在工程上是可接受的危险）。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（5）热膨胀性：天然气的体积会随着温度的升高而膨胀，当管道遭受暴晒或靠近高温热源，天然气受热膨胀造成管道内压增大而膨胀，造成容器损坏导致天然气泄漏。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（6）可压缩性：天然气是可压缩的，因而输气管的输送压力要较输油管高，本工程的输送设计压力为10MPa，超压运行或管道、设备存在缺陷可能会产生物理爆炸。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（7）自燃性：硫化铁遇空气时，能发生自燃。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5.8.4 场站危险、有害因素分析</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（1）各设备连接处法兰密封不严或材质存在缺陷造成泄漏。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（2）过滤分离器是本工程的主要工艺设备之一，本工程使用旋风过滤分离器，有可能发生憋压或泄漏事故。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（3）本工程站场的设计工艺操作压力最高可达 10MPa，属于高压工艺设备，存在较高的设备及容器因压力而爆裂的危险性。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（4）由于工作运行状况存在日不均匀、月不均匀和年不均匀的变化，因此存在由于压力波动、疲劳等引起的站内设备、管材失效。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（5）人为因素主要表现在操作人员由于自身技术水平不高或责任心不强，导致误操作或违章操作，引发事故。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5.8.5 管道危险、有害因素分析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通过对国内外输气管道事故进行统计和事故原因分析，可以得出以下几点结论： </w:t>
      </w:r>
    </w:p>
    <w:p>
      <w:pPr>
        <w:keepNext w:val="0"/>
        <w:keepLines w:val="0"/>
        <w:widowControl/>
        <w:numPr>
          <w:ilvl w:val="0"/>
          <w:numId w:val="8"/>
        </w:numPr>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国外不同地区和不同国家输气管道事故原因在事故总数中虽然所占比例不同，排序不同，但前三项不外乎为外部干扰、腐蚀及材料失效和施工缺陷；在欧美等国管道事故中，外力影响占第一位，其次是施工和材料缺陷，第三是腐蚀；前苏联天然气管道的主要原因是腐蚀、外部干扰、材料缺陷；我国输气管道的事故原因和前苏联有相似的地方，事故原因以腐蚀为主，施工和材料缺陷及不良环境的影响居后，但是近年来人为破坏的事故增长势头非常迅猛。</w:t>
      </w:r>
    </w:p>
    <w:p>
      <w:pPr>
        <w:keepNext w:val="0"/>
        <w:keepLines w:val="0"/>
        <w:widowControl/>
        <w:numPr>
          <w:ilvl w:val="0"/>
          <w:numId w:val="0"/>
        </w:numPr>
        <w:suppressLineNumbers w:val="0"/>
        <w:ind w:firstLine="480" w:firstLineChars="20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因此在本工程的设计、建设和运营中，应采取各种技术、措施，防止或削减这些事故因素。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随着世界输气管道向着长距离、大直径、高强度和高压力及高度自动化遥控和智能管理方向发展，提高管材等级和施工、质检标准，采用性能更加优良的防腐材料和有效的日常监控和维修措施，各类事故都会随之减少，本工程亦然</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（3）我国新建的西部输气管道由于所采用的设备、材料已接近国际水平，加之防腐材料及手段、自动化水平的提高，设备故障、腐蚀和误操作等原因造成的事故比例将会降低。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4）为了避免或尽量减少管道建设及运行中的各类事故，本工程外接管线建设应借鉴先进的经验，从设计和施工的各个环节入手，在防腐、管材以及施工技术等方面都要制定各种严格的规章制度并切实落实，从各个方面保证工程的安全性；同时在运行后要建立完整的事故报告制度，建立管道动态运行管理数据库，为管道建设和今后运营打下坚实的基础。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5.8.6 其他危险、有害因素分析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1、自然环境危害因素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自然环境危害因素从成因上分，可分为地质灾害因素、气象灾害因素。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（1）地质灾害因素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地震等地质灾害可能引起地表变形，造成管道破裂，引发事故。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（2）腐蚀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本工程地处水网地区，土壤腐蚀性较强，设备及管道防腐非常重要。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2、社会环境危害因素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社会环境危害因素主要指由于人类经济活动造成（站场及集输管网）的破坏，可以分为无意破坏和有意破坏。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（1）无意破坏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在管道附近修建房屋、疏浚河道、开挖池塘、种树等都可能造成无意破坏；无意破坏是可以通过采取措施避免的，往往可以事半功倍。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（2）有意破坏（或者叫故意破坏）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受经济利益的驱使，一些人采取偷盗、抢夺的手段对国有财产进行掠夺，并干扰正常生产秩序，破坏站场设施，偷盗资源，使事故发生并酿成惨剧。在管道上打孔盗气的事件越来越多，对管道的运行安全构成潜在的威胁。有意破坏近些年来有愈演愈烈的趋势，是我们应该防范的重点。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5.8.7 弃渣场风险识别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渣场风险事故主要是堆土渣的整体失稳和边坡失稳两种类型。整体失稳，主要是基底地形坡度太陡，堆土与基底的摩擦系数小，基底的地质、水文条件差、排水设施不完善等原因。边坡失稳，主要原因有阶段高度超过堆土的稳定高度、场内连续排弃了物理力学性质不良的岩土层、地表水截流不当使岩土含水饱和降低了岩土的物理力学性质、场内地表水集流冲刷边坡、冲刷坡脚等，均有可能导致失稳的发生。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渣场的事故主要来自于水土流失造成的滑坡。渣场的失稳一旦发生，将会伴有严重的滑坡产生，此时，对于采场内部的人身财产安全将造成威胁。渣场滑坡的发生，通常在堆土初期，随着堆土高度加大，所堆置的土壤被逐渐压实，并施以绿化，场地的边坡稳性得以提高和加强，滑坡也就逐渐减弱直至停止。滑坡的规模一般是由大变小，到最后更小，发生频率由多变少，到最后停止；在性质上，由粘性到稀性直至接近清水流。</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5.9 环境风险影响预测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5.9.1 泄漏天然气对环境空气的影响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输送介质为高纯度甲烷，经元坝天然气净化厂净化后，不含硫化氢。甲烷的密度比空气的一半还小，稀释扩散很快，随着距泄漏点距离的增加，甲烷测试浓度下降非常快，一个泄漏点泄漏的甲烷对环境、人和动物的影响是局部影响。此外，根据甲烷危害特性，人体不出现永久性损伤的最低限值为374285.7mg/m</w:t>
      </w:r>
      <w:r>
        <w:rPr>
          <w:rFonts w:hint="default" w:ascii="Times New Roman" w:hAnsi="Times New Roman" w:eastAsia="宋体" w:cs="Times New Roman"/>
          <w:color w:val="auto"/>
          <w:kern w:val="0"/>
          <w:sz w:val="16"/>
          <w:szCs w:val="16"/>
          <w:lang w:val="en-US" w:eastAsia="zh-CN" w:bidi="ar"/>
        </w:rPr>
        <w:t>3</w:t>
      </w:r>
      <w:r>
        <w:rPr>
          <w:rFonts w:hint="default" w:ascii="Times New Roman" w:hAnsi="Times New Roman" w:eastAsia="宋体" w:cs="Times New Roman"/>
          <w:color w:val="auto"/>
          <w:kern w:val="0"/>
          <w:sz w:val="24"/>
          <w:szCs w:val="24"/>
          <w:lang w:val="en-US" w:eastAsia="zh-CN" w:bidi="ar"/>
        </w:rPr>
        <w:t xml:space="preserve">。本项目管线正常输气时，站控系统可实时监测管线压力变化情况，当管线发生意外事故破裂，监测点压力急剧下降，压降变化速率达设定值后并保持超过设定时间时，自动启动气-液联动驱动头，利用管输天然气的压力，关闭阀门，截断燃气管道。从站控系统感测压力降至关闭阀门时间仅 3～5 分钟，因此，天然气管道发生事故时，高浓度区域出现的时间最大不超过 10 分钟，而人在甲烷窒息浓度区内持续 30 分钟后方可能致死，因此天然气泄漏形成的高浓度区域（窒息浓度，25％）不会引起在该区域内活动的人群死亡。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5.9.2 水环境影响分析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本项目穿越大中型河流1处，本项目穿越河流埋深严格执行《石油天然气管道穿越工程施工及验收规范》相关规定，由于天然气密度比空气小，且溶解率很低，一旦输气管道发生破裂，管道中的天然气以气态形式向外逸散，天然气主要成分为 CH4 和烃类气体，均不溶于水，天然气对水质的直接影响很小，通过严格管理，规范施工，可以将影响降低到最小。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5.9.3 声环境影响分析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对于输气站场异常排放的天然气，通过放空管排放，在事故状态，放空噪声能达到 105dB，所以站场选址尽量远离居民区，设备选型尽可能选择低噪声设备，放空口安装消声器，对站场周围栽种树木进行绿化，厂区内工艺装置周围、道路两旁也进行绿化，这样既可控制噪声，又可吸收大气中一些有害气体，阻滞大气中颗粒物质扩散。针对放空噪声，可采取的主要措施有以下措施减少噪声影响</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1、合理控制压力、气流，尽量减低噪声源噪声值；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2、检修放空合理安排放空时段，事故状态放空在可操作范围内尽量与地方主管部门沟通，事后对受影响的百姓给予合理的补偿措施；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3、企业平时对周边群众做好噪声防治宣传活动，</w:t>
      </w:r>
      <w:r>
        <w:rPr>
          <w:rFonts w:hint="eastAsia" w:ascii="Times New Roman" w:hAnsi="Times New Roman" w:cs="Times New Roman"/>
          <w:color w:val="auto"/>
          <w:kern w:val="0"/>
          <w:sz w:val="24"/>
          <w:szCs w:val="24"/>
          <w:lang w:val="en-US" w:eastAsia="zh-CN" w:bidi="ar"/>
        </w:rPr>
        <w:t>普及</w:t>
      </w:r>
      <w:r>
        <w:rPr>
          <w:rFonts w:hint="default" w:ascii="Times New Roman" w:hAnsi="Times New Roman" w:eastAsia="宋体" w:cs="Times New Roman"/>
          <w:color w:val="auto"/>
          <w:kern w:val="0"/>
          <w:sz w:val="24"/>
          <w:szCs w:val="24"/>
          <w:lang w:val="en-US" w:eastAsia="zh-CN" w:bidi="ar"/>
        </w:rPr>
        <w:t>应急处置方法对策。</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5.9.4 生态林地环境影响分析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如果在出现泄漏事故时，由于误操作引发火灾、爆炸，发生火灾的地方为林场一类的植被茂密地区，在一定的气象条件下还可能引发森林大火，这会给当地的生态环境造成极大的破坏。在管道经过林区段，分别依据《中华人民共和国森林法》、《森林防火条例》及项目涉及区域森林防火条例，采取营造生物防火带、加强瞭望、巡视等措施，严格规范管道维修、维护操作规程等措施，防止事故或处理事故时引起森林火灾。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事故状态下，主要影响是天然气泄漏，伴生或次生火灾爆炸事故。由于天然气属于易燃易爆品，其管线的泄漏环境为开放环境，不易形成爆炸性蒸气云，多数形成火灾，会对保护区内的人员和周围环境产生破坏性的影响。主要影响表现</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1、直接伤害保护区内的生物资源，包括动物、植物、微生物等。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2、改变土壤的温度、结构、理化性质、肥力、土壤微生物含量等。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3、改变野生动物的栖息环境、食源、种间竞争关系、野生动物之间的捕食与被捕食关系等。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4、对植物的影响表现为直接伤害、促进、引起植物种群和群落的变化。根据国际国内的类比调查，同类天然气输送管路工程运行阶段发生泄漏引起爆炸、火灾的几率非常低。尽管如此，在该工程的运行阶段，对其发生的风险应给于足够的重视，采取必要的防范、防护措施，主要从施工阶段和运行阶段采取防护措施。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事故产生的影响一般在半径 200m 范围内，影响时间相对较短，从管线沿线植被分布图来看，该区域基本为栽培植被和农田植被，另有小面积的灌木林地，有林地相对较少，因此对植被造成的破坏损失量较小</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5.9.5 弃渣场环境风险分析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根据项目《水土保持可行性方案》，本工程挖方共计52.10万m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（包括表土剥离17.14万 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），填方共计32.13万m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（包括表土回覆17.13万m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），通过外购形式获得，弃方20.93万m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（含松方29.34万m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弃方统一运至规划的1处渣场堆放并防护。排渣场周围修建排水沟，在暴雨季节，随雨量的增加、暴雨的不断冲刷，有排渣场挡墙溃坝的隐患。降雨及洪水会诱发排渣场渣体顺坡一侧滑坡并形成泥石流，对渣场下游林地、灌木丛及农田等造成破坏，同时渣场排渣虽暴雨向下游迁移，并可能进入附近地表水体内，从而对地表水水质产生一定的影响。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另一方面，如若排渣场下游有居民，一旦溃坝，形成的泥石流可能会造成居民生命、财产的损失。根据现场勘查，本项目设置的1处渣场相对高程较低，渣场最大堆高在 7~12m 之间，渣场占地面积小，存渣量不大；规划渣场周边无居民等敏感目标。渣场下游地势较为平坦，上游无明显集雨范围，通过在渣场周边设置截排水沟将上游雨水及时引走，同时弃渣结束后，及时对渣场进行播撒草籽、种植灌木等恢复措施，本项目弃渣场发生挡墙垮塌事故的概率很小</w:t>
      </w:r>
    </w:p>
    <w:p>
      <w:pPr>
        <w:keepNext w:val="0"/>
        <w:keepLines w:val="0"/>
        <w:widowControl/>
        <w:suppressLineNumbers w:val="0"/>
        <w:ind w:left="0" w:leftChars="0" w:firstLine="0" w:firstLineChars="0"/>
        <w:jc w:val="left"/>
        <w:rPr>
          <w:rFonts w:hint="default" w:ascii="Times New Roman" w:hAnsi="Times New Roman" w:cs="Times New Roman"/>
          <w:color w:val="auto"/>
          <w:sz w:val="28"/>
          <w:szCs w:val="28"/>
        </w:rPr>
      </w:pPr>
      <w:r>
        <w:rPr>
          <w:rFonts w:hint="default" w:ascii="Times New Roman" w:hAnsi="Times New Roman" w:eastAsia="宋体" w:cs="Times New Roman"/>
          <w:b/>
          <w:bCs/>
          <w:color w:val="auto"/>
          <w:kern w:val="0"/>
          <w:sz w:val="28"/>
          <w:szCs w:val="28"/>
          <w:lang w:val="en-US" w:eastAsia="zh-CN" w:bidi="ar"/>
        </w:rPr>
        <w:t xml:space="preserve">5.10 管道风险防范措施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5.10.1 工程前期及设计阶段的风险防范措施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1、道风险防范措施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①选择线路走向时，尽可能避开居民区以及复杂地质段，以减少由于不良地质造成管道泄漏事故，以及天然气泄漏引起的火灾、爆炸事故对居民危害经济损失；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②管道沿线人口密集、房屋距管线较近等敏感地区，提高设计系数，增加管线壁厚，以及其它保护管道的措施，以增强管道抵抗外部可能造成破坏的能力；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③据《输气管道工程设计规范》（GB50251-2003）的要求，输气管道通过的地区，应按沿线居民户数和建筑物的密集程度，划分地区等级，并依据地区等级作出相应的管道设计。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2、线路用管选择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目前国内钢管厂家均能生产符合国家标准 《石油天然气工业输送钢管交货技术条件》（GB/T9711.1-1997）的钢管，项目统一用管规格采用 D1016×21mm直缝埋弧焊钢管L485M</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3、防腐蚀措施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①外防腐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目前，国内外长输管道上常用的外防腐涂层主要有：煤焦油瓷漆、聚乙烯三层结构（三层 PE）、熔结环氧粉末（FBE）和双层熔结环氧粉末（双层 FBE）等。 这几种防腐涂层都有各自的优缺点，根据沿线的地理环境、气候条件、交通状况 以及施工期间的外力作用等因素。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根据管道经过地段的自然地理环境，要求外防腐涂层不但具有优异的耐水性、耐土壤应力和耐阴极剥离性能，还应具有良好的抗冲击性、耐磨性等；并要求外防腐涂层与阴极保护匹配良好，所需保护电流密度小。由于三层 PE 具有环氧粉末和聚乙烯防腐层的双重优点，各项综合性能比较优异，而且其抗冲击性能突出，防腐层绝缘性能优异，因而管道所需要的阴极保护电流密度较小，可增大阴极保护的半径，降低投产运行后的维护和修理费用，同时目前国内三层 PE 防腐层的生产加工已形成规模，生产能力和材料来源比较稳定，防腐层价格适中，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并且该防腐层的补口操作比较简单，技术成熟，易于实施，冷弯弯管可采用三层PE 防腐管直接弯制，因此在满足技术要求的前提下，综合考虑管道穿越、防腐层造价、周边防腐预制条件、与沿线阴极保护系统设置的匹配性等因素，统一采用三层 PE 能使管道安全可靠性极大提高、为施工及维护管理提供方便。由于本工程设计温度＜50℃，结合 GB/T 23257-2017对三层 PE 防腐层温度类型的规定，防腐层的温度类型采用常温型；考虑到本工程管道所经地区地形地貌复杂，山区小公路穿越较多，部分地段基岩突出，对防腐层抗冲击性要求较高，同时 防腐层普通级与加强级造价相差较少，为方便组织生产、现场布管等实际情况，推荐管道全线采用三层 PE 常温型加强级外防腐层。三层 PE 外防腐层的预制、调运、施工及质量检测执行 GB/T23257-2017《埋地钢质管道聚乙烯防腐层》的相关规定。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② 阴极保护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为保证防腐工作的可靠性，采用外防腐层和强制电流阴极保护联合方式。对管线采用以强制电流为主，牲牺阳极为辅的阴极保护方法。在杂散电流流出点安装成组的锌阳极，以达到排流的目的，减轻干扰。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③ 干扰防护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本项目采用了 SCADA 和 PLC 控制系统，实现管道全线的集中数据采集、监控与调试管理。该系统为目前管道自动控制过程最先进的技术，可确保在线跟踪流量、压力等指标变化情况，在发生泄漏事故时快速切断流量和启动泄压系统，确保管线安全，也避免了事故的继续扩大。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4、管道抗震防范措施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① 管线与活动断裂平行时，管线设在其外 200m；与管线交叉时，选择合适的交角，或采取管线水平弯曲补偿形式敷设。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② 增加交叉段管壁厚度。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③ 尽量采取弹性敷设来处理管道转角。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④ 加宽管沟，回填松散土。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⑤ 对可能发生崩塌和沙土液化地区，采取排水，支挡、削坡等。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⑥ 采用外壁摩阻较小的外防腐涂层。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5.10.2 施工阶段的风险防范措施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1、选择有经验、有资质的单位继续拧施工，减少施工误操作；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2、建立施工质量保证体系，提高施工检验人员的水平，提高检验手段；</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3、制定严格的规章制度，发现施工缺陷及时修补并做好记录；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4、进行水压试验，排除存在于焊缝和母材的缺陷；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5、在施工过程中，严格工程监理，确保施工质量；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6、管线经过地区要设立提示牌和警示标志</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5.10.3 运行阶段的风险防范措施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1、严格控制输入天然气的气质，定期清管，排除管内的积水和污物，减轻管道内腐蚀；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2、每三年进行管道壁厚的测量，对严重管壁变薄管段，及时维修更换，避免爆管事故发生；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3、每半年检查管道安全保护系统，使管道在超压时能够得到安全处理，使危害影响范围减小到最低程度；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4、加大巡线频率，提高巡线有效性；每天检查管道施工带，查看地表情况，并关注在此地带的人员活动情况，发现对管道安全有影响的行为，应及时制止、采取相应措施并向上级报告；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5、在公路、河流穿越点的标志不仅清楚、明确，并且其设置应能从不同方向，不同角度均可看清；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6、对穿越河流等敏感地段的管道应每三年检查一次；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7、在洪水期，应特别关注河流穿越段管道的安全；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8、各放空管事故放空时，应注意防火</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5.10.4 管理措施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1、按《中华人民共和国石油天然气管道保护法》要求加强管理建设单位应向沿线群众进行有关管道设施安全保护的宣传教育，配合公安机关做好管道设施的安全保卫工作，以保障管道及其附属设施的安全运行。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（1）在管道中心线两侧各5m范围内，禁止取土、挖塘等容易损害管道的 作业活动；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（2）在管道中心线两侧及管道设施场区外各50m范围内，禁止爆破、开山、修筑大型建筑物、构筑物工程；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（3）在管道中心线两侧各50m 至500m范围内进行爆破，应事先报告建设方主管部门同意后，在采取安全保护措施后方可进行；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2、建立环境风险管理体系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管道在运营期必须制定综合管理、HSE 管理和风险管理体系，综合管理体系和安全管理体系为风险管理提供技术保障。综合管理体系包括：管理组织结构、任务和职责，制定操作规程，安全章程，职员培训，应急计划，建立管道系统资料档案。为了防范事故风险，必须编制主要事故预防文件。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3、建立输气管道完整性管理体系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为了保证输气管道沿线居民和财产的安全，管道建成后，管道公司应建立输气管道完整性管理体系，做好管道沿线的调查，主要包括：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① 靠近管道的大致人数（包括考虑人工或自然障碍物可提供的保护等级）；② 活动范围受限制或制约的场所（如医院、学校、幼儿园、养老院、监狱），特别是未加保护的外部区域内的大致人数；③可能的财产损坏和环境破坏；④公共设施和设备。收集以上资料，从而为制定本工程天然气管道事故应急救援预案提供依据。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4、在管道系统投产运行前，应制订出供正常、异常或紧急状态下的操作手册和维修手册，并对操作、维修人员进行培训，持证上岗，避免因严重操作失误而造成的事故；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5、制订应急操作规程，在规程中应说明发生管道事故时应采取的操作步骤，规定抢修进度，限制事故的影响，另外还应说明与管道操作人员有关的安全问题；</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6、操作人员每周应进行安全活动，提高职工的安全意识，识别事故发生前的异常状态，并采取相应的措施；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7、对管道附近的居民加强教育，进一步宣传贯彻、落实《中华人民共和国石油天然气管道保护法》，减少、避免发生第三方破坏的事故；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8、对重要的仪器设备有完善的检查项目、维护方法；按计划进行定期维护；有专门档案（包括维护记录档案），文件齐全。将各种标志按类编号入档，并应根据线路及环境的变化情况及时增减或变更，标志桩宜每年刷漆更新，保持标记内容清晰。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9、部门和分部的领导在各自所负责的范围内保证采取组织和技术措施，以便建立安全的劳动条件，并对工作人员进行安全工作方法的指导和培训，监督其执行安全技术、生产卫生和防火安全规则和条例。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10、加强职工培训，提高操作管理人员的技术水平和素质，做到安全、平稳、文明生产。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11、建立健全安全检查制度，不断进行安全检查，及时整改隐患，防止事故发生。每一个工人和工程技术人员必须立即向自己的直接领导汇报自己发现的设备、管道、仪表和工具等出现的损坏、故障和泄漏，以及违反安全技术、生产卫生和防火安全规范的行为。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12、任何不幸事件和任何违反劳动保护规则的情况都按一定的程序调查，应找出原因并采取一定的预防措施。所有的生产员工接受一定的方法培训。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13、按照不同工种，不同劳动环境和条件，或同工种，不同劳动环境和条件，发给职工具有不同防护功能的护品。防护用品和安全防护装置在发给工人和工程技术人员之前，要根据已确定的要求进行检查和试验。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14、生产区域做到无油污，无杂草，无易燃爆物。站内的设备、管网做到不漏气、不漏水、不漏电。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15、管道运行一段时间后应开展管道剩余强度、剩余寿命的评价，以确定管线的检测周期和维修周期。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5.10.5 站场风险防范措施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1、各输气站场严格按防火规范布置平面，站场内的电气设备及仪表按防爆等级不同选用不同的设备；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2、站内所有设备、管线均应做防雷、防静电接地；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3、安装火灾设备检测仪表、消防自控设施；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4、在可能发生天然气泄漏或积聚的场所应按照《石油化工企业可燃气体和有毒气体检测报警设计规范》（SH3063-1999）的要求设置可燃气体报警装置；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5、设立紧急关断系统。在管线进出站等处设置紧急切断阀，对一些明显故障实施直接切断；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6、采用了半自动不停气清管、自动关闭截断阀组等先进工艺及设备；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7、装备完善通信系统，对管道运行全过程进行动态监视、控制、模拟、分析、预测、计划调度和优化运行，为输气管线的各站场间提供可靠的计算机数据、</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5.10.5.1 工程前期及设计阶段的风险防范措施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1、在工程设计书中应有可操作性的安全（HSE）设计篇章，按照有关审批程序进行严格审批。其安全（HSE）设计以国家有关法律、法规，国家标准和行业标准以及安全预评价报告和环境影响评价报告为设计依据。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2、设计中物料始终密闭在各类设备和管道中，各个连接处采用可靠的密封措施。所有设备和管道的强度、严密性及耐腐蚀性符合有关技术规范要求。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3、站场在可能超压的设备设有安全阀，安全阀定压低于设备的设计压力，泵、安全阀的出口泄放管接入放空管排出。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4、工艺装置区及建构筑物的防静电接地按《工业与民用电力装置的接地设计规范》进行设计。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5、凡是可能有爆炸危险性气体散发的区域全都设置了可燃气体浓度监测探头和报警，同时设置火灾报警。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6、在有可能泄漏气体的场所，采用强制通风，站内各建构筑物之间留有足够的防火间距，并配备足够的消防设施。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7、为满足各场站产操作、防火监视、安全保卫及管理的需要，设电视监控系统。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8、定期对站场设备、防静电接地线路等进行检查、维护，保证站场设施安全运行。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9、拟建项目选址符合当地城乡规划的要求。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10、站内各建构筑物严格按照规范要求的防火、防爆间距进行布置，使得建筑物与设备区分别处在全年最小频率风向的上风侧。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11、建筑物、构筑物的主要构件，均采用非燃烧材料，其耐火极限符合现行的国家标11准《建筑设计防火规范》（GB50016—2014）的有关规定，耐火等级为二级、抗震防烈度为 7 度第一组（基本地震加速度 0.10g）、采光等级为Ⅲ级。</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5.10.5.</w:t>
      </w:r>
      <w:r>
        <w:rPr>
          <w:rFonts w:hint="default" w:ascii="Times New Roman" w:hAnsi="Times New Roman" w:cs="Times New Roman"/>
          <w:b/>
          <w:bCs/>
          <w:color w:val="auto"/>
          <w:kern w:val="0"/>
          <w:sz w:val="24"/>
          <w:szCs w:val="24"/>
          <w:lang w:val="en-US" w:eastAsia="zh-CN" w:bidi="ar"/>
        </w:rPr>
        <w:t>2</w:t>
      </w:r>
      <w:r>
        <w:rPr>
          <w:rFonts w:hint="default" w:ascii="Times New Roman" w:hAnsi="Times New Roman" w:eastAsia="宋体" w:cs="Times New Roman"/>
          <w:b/>
          <w:bCs/>
          <w:color w:val="auto"/>
          <w:kern w:val="0"/>
          <w:sz w:val="24"/>
          <w:szCs w:val="24"/>
          <w:lang w:val="en-US" w:eastAsia="zh-CN" w:bidi="ar"/>
        </w:rPr>
        <w:t xml:space="preserve"> 施工阶段的风险防范措施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1、在施工过程中，加强监理，确保涂层施工质量；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2、建立施工质量保证体系，提高施工检验人员的水平，加强检验手段；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3、制定严格的规章制度，发现缺陷及时正确修补并做好记录；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4、进行水压试验，排除更多的存在于焊缝和母材的缺陷，从而增加管道的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安全性；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5、选择有丰富经验的单位进行施工，并有优秀的第三方对其施工质量进行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强有力的监督，减少施工误操作。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5.10.5.</w:t>
      </w:r>
      <w:r>
        <w:rPr>
          <w:rFonts w:hint="default" w:ascii="Times New Roman" w:hAnsi="Times New Roman" w:cs="Times New Roman"/>
          <w:b/>
          <w:bCs/>
          <w:color w:val="auto"/>
          <w:kern w:val="0"/>
          <w:sz w:val="24"/>
          <w:szCs w:val="24"/>
          <w:lang w:val="en-US" w:eastAsia="zh-CN" w:bidi="ar"/>
        </w:rPr>
        <w:t>3</w:t>
      </w:r>
      <w:r>
        <w:rPr>
          <w:rFonts w:hint="default" w:ascii="Times New Roman" w:hAnsi="Times New Roman" w:eastAsia="宋体" w:cs="Times New Roman"/>
          <w:b/>
          <w:bCs/>
          <w:color w:val="auto"/>
          <w:kern w:val="0"/>
          <w:sz w:val="24"/>
          <w:szCs w:val="24"/>
          <w:lang w:val="en-US" w:eastAsia="zh-CN" w:bidi="ar"/>
        </w:rPr>
        <w:t xml:space="preserve">自动控制设计风险防范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1、采用国内外成熟可靠、并经实践检验可行的技术和设备。选用先进适宜的现场仪表和控制系统，本着安全可靠、操作方便、数据准确、科学管理的原则，保证输气管道安全、高效、平稳地运行。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2、控制系统具有高可靠性、稳定性和灵活性，能保证生产安全可靠地运行。系统定期对自身进行自诊断并且形成报告，监视整个系统的工作状态，以便对系统进行维护和维修。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3、站场为易燃、易爆危险场所。自控设备要求质量可靠、技术先进、性能稳定、安全防爆，有成熟的应用经验。现场仪表选用隔爆仪表</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5.10.5.4 管理措施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1、设备采购必须符合国家标准规范要求，应从具备资质的企业进行采购，同时必须索取合格证。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2、在易引起误操作事故的岗位设立明显标志，在作业场所的紧急通道和紧急出入口设置明显的标志和指示箭头。在装置区安装风向标，保证事故状态下如有有毒物质泄漏时，操作人员的安全撤离。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3、站场内特种作业人员必须接受与本岗位相适应的、专门的安全技术培训，经安全技术理论考核和实际操作技能考核合格，取得特种作业操作证后，方可上岗作业。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4、调节阀的正反作用和风开关作用按工艺要求选定，到货安装后，生产单位要认真进行核查确认，防止阀位门正反作用选错影响装置开工和正常生产调节。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5、站场内所有可燃气体检测仪、安全阀以及远距离控制阀等，应按规定周期定期检验，确保安全、灵敏、可靠。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6、在事故处理及检修需要进入事故现场时，应严格执行有关的安全规定，穿戴好各种防护用品，并由责任心强的人员进行监护。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7、根据生产工艺的特点，参考同类装置的实际运行情况，有针对性地编制一套安全检查表，以指导各岗位操作人员有重点的进行巡回检查</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5.10.5.5 消防系统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消防设计贯彻“预防为主，防消结合”的消防原则，针对保护对象的特点，合理地设置消防灭火系统和设施，防止和减小火灾危害，保护人身和财产安全。消防设施的设置做到安全可靠、技术先进和经济合理。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根据《石油天然气工程设计防火规范》（GB50183-2004）的规定，新建的分输站属于五级站场，可不设置消防给水设施，仅在站场内配置一定数量的移动式灭火器材，扑灭小型初期火灾。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项目在站内可能发生火灾的工艺装置区、主要建筑物等各类场所，根据其可燃物质的性质、面积大小等实际情况，依据《建筑灭火器配置规范》分别配置一定数量的移动式灭火器材，以便扑灭初期零星火灾。在需设置可燃气体检测报警仪的场所，均采用固定式且相对独立的仪表系统对可燃气体进行连续检测、指示、报警，并对报警进行记录，同时将报警信息传送给站控制系统（SCS）并送至油气调控中心。另外在站场配备便携式可燃气体检测报警仪，报警信号进入站控制系统（SCS），一级报警：25%LEL，二级报警：50%LEL。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5.10.5.6 弃渣场挡墙垮塌风险防范措施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（1）在排渣场采取墙背直立的挡墙结构，外侧俯斜式石砌挡墙，底部采用倾斜设计，增加挡墙的稳定性，并在挡墙内设置泄水孔，泄水口应高出地面 0.3m；在挡墙外围修建排水沟，以保证雨水的正常排泄。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（2）排渣场平台必须平整，排渣过程中应整体均衡推进，排渣过程中应有专人进行指挥。</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（3）排渣场最终境界应排放大块岩石以确保排渣场结束使用后的安全稳定，防止泥石流灾害。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5.11 应急预案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建设项目应按《危险化学品安全管理条例》要求制定危险化学品事故应急救援预案，按《建设项目环境风险评价技术导则》（HJ 169-2018）和国家环保部《关于加强环境影响评价管理防范环境风险的通知》为要求，事故应急救援预案 应包括以下环境风险应急内容</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5.11.1 应急计划区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拟建项目的危险目标主要为管道及输气站场，主要环境保护目标为管道附近村庄、河流等敏感目标，以及站场内的办公区域和办公区外的敏感目标。</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5.11.2 应急机构及人员分工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（1）机构组成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国家管网集团西南管道有限责任公司兰成渝输油分公司、沿线各站场应成立应急组织机构成立环境风险事故应急救援“应急领导小组”，由总经理、有关副总经理及安全环保、保卫等部门领导组成，下设应急办公室，日常工作由安全环保部门兼管。发生重大事故时，以应急领导小组为基础，立即成立风险事故应急救援指挥部，总经理任总指挥，有关副总经理任副总指挥，负责应急救援工作的组织和指挥。如若总经理、有关副总经理不在企业，由安全环保部门负责人为临时总指挥，全权负责应急救援工作。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（2）机构职责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应急领导小组：组长由各级主管安全生产的领导担任，安全机构负责人、各职能单位领导为副组长，负责事故发生后的指挥、决策工作。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应急办公室：应急领导小组下设应急办公室，为常设机构，负责应急工作日常工作，事故状态下以应急办公室名义向所属单位下达各项任务，指挥、协调应急工作。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应急支持保障组：应急领导小组下设应急支持保障组，为非常设机构，在事故状态下接受应急领导小组指挥，行使相应职责。支持保障组由各级机构中的有关职能处室(安全、环保、计划、财务等)及相关专家组成，负责应急工作中的QHSE 支持、财务支持、技术支持、后勤保障及与地方政府应急机构联络等。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应急指挥小组根据预案在实施过程中的成功经验和存在的问题及时对预案进行调整、修订，定期组织职工对事故预案进行演练。同时指派专人在事故结束后收集、整理所有的应急记录、文件等资料，并存档。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（3）人员分工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总指挥组织指挥本项目的应急救援；副总指挥协助总指挥负责应急救援的具体指挥工作。环保安全科长协助总指挥做好事故报警、情况通报及事故处置工作，负责事故现场及有害物质扩散区域内的洗消、监测工作，必要时代表指挥部对外发布有关信息；保卫科长负责灭火、警戒、治安保卫、疏散、道路管制工作。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（4）专业救援队伍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企业内设不脱产的专业救援队伍，由各部门职工经培训后组成，分为抢险抢修队、医疗救护队、义务消防队、通讯保障队、负责事故控制、救援和善后处理工作。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（5）职责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预案应明确应急机构各成员职责分工，需要明确的主要内容有：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——由谁来报警、如何报警、向哪儿报警；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——向上级汇报事故的时机、方式(人员和联络手段)；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——谁来组织抢险、控制事故；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——应急器材的使用、分配等；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——现场人员的医疗救护措施；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——哪个部门组织现场人员撤离；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——明确与媒体沟通渠道和事故信息对外发布渠道；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——当事故现场以及周边环境达到了安全、环保部门认可的对人身健康没有危害的条件时，由谁来宣布危害已解除，事故危害区域内撤离疏散的人员可以返回；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——明确规定在什么情况下、谁来宣布应急预案关闭。</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5.11.3 事故类型及应急预案分级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5.11.3.1 事故类型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根据本管道事故的严重程度和造成的影响范围将事故分为按照突发事件严重性和紧急程度，突发环境事件分为特别重大环境事件（Ⅰ级）、重大环境事件（Ⅱ级）、较大环境事件（Ⅲ级）和一般环境事件（Ⅳ级）、其他环境事件（V 级） 五级。根据</w:t>
      </w:r>
      <w:r>
        <w:rPr>
          <w:rFonts w:hint="default" w:ascii="Times New Roman" w:hAnsi="Times New Roman" w:cs="Times New Roman"/>
          <w:color w:val="auto"/>
          <w:kern w:val="0"/>
          <w:sz w:val="24"/>
          <w:szCs w:val="24"/>
          <w:lang w:val="en-US" w:eastAsia="zh-CN" w:bidi="ar"/>
        </w:rPr>
        <w:t>建设单位</w:t>
      </w:r>
      <w:r>
        <w:rPr>
          <w:rFonts w:hint="default" w:ascii="Times New Roman" w:hAnsi="Times New Roman" w:eastAsia="宋体" w:cs="Times New Roman"/>
          <w:color w:val="auto"/>
          <w:kern w:val="0"/>
          <w:sz w:val="24"/>
          <w:szCs w:val="24"/>
          <w:lang w:val="en-US" w:eastAsia="zh-CN" w:bidi="ar"/>
        </w:rPr>
        <w:t xml:space="preserve">提供资料，本工程运行后的生产和管理纳入国家管网集团西南管道有限责任公司兰成渝输油分公司，本工程管道采用三级管理模式统一管理。调控中心是全线调度、管理的核心及指挥枢纽，主要完成对各站场进行实时监控、调度、管理等任务。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5.11.3.2 应急预案分级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对应Ⅰ级、Ⅱ级、Ⅲ级、Ⅳ级、V 级事故分类，预案按其实施主体分成三级，即国家管网集团西南管道有限责任公司兰成渝输油分公司为一级，国家管网集团西南管道有限责任公司为二级，沿线各站场为三级。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Ⅰ级、Ⅱ级、Ⅲ级事故为环境危害严重的事故，须分别制定一、二、三级预案；Ⅳ级事故应编制二级和三级预案；V 级事故只有三级预案。一旦Ⅰ级、Ⅱ级、Ⅲ级事故识别成立，一至三级预案均须启动；同时上报国家管网集团西南管道，启动相应的事故应急预案。预案的启动顺序自下而上为三级、二级、一级。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国家管网集团西南管道有限责任公司需要编制Ⅰ级、Ⅱ级、Ⅲ级事故应急预案(一级预案)，国家管网集团西南管道有限责任公司需要编制Ⅰ级、Ⅱ级、Ⅲ级、Ⅳ级事故应急预案(二级预案)，各站场需要编制Ⅰ级、Ⅱ级、Ⅲ级、Ⅳ级、V 级事故应急预案(三级预案)</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 应急响应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 预警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1、预警条件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（1）所属单位发生Ⅲ级环境突发事件时，事发单位立即启动本单位应急预案进行应急处理，并向公司环境突发事件应急指挥部办公室报告，应急指挥部办 公室启动预警程序；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（2）属地政府部门发布预警，有可能发生 II 级及以上突发事件；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（3）属地政府要求公司配合应急联动工作；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（4）其它可能影响到公司人员健康安全，严重影响公司生产运行安全的信息。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2、预警程序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当达到预警条件之一时，环境突发事件应急指挥部办公室启动预警程序：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（1）立即向环境突发事件应急指挥部报告，并落实领导指令；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（2）通知环境突发事件应急指挥部有关成员做好应急准备。必要时，应急指挥部及办公室有关成员、有关专家到公司应急指挥中心集中办公；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（3）及时收集和掌握事件发展动态及现场抢险进展情况；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（4）组织有关部门人员和专家分析、判断环境突发事件的紧急程度和发展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态势，向相关单位提出指导意见；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（5）提供应急队伍、装备、物资、专家等信息；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（6）根据事态变化，适时向环境突发事件应急指挥部成员通报预警信息。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3、预警职责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（1）环境突发事件应急指挥部组长：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① 主持或委托应急指挥部办公室主任召集应急指挥部成员进行会商；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② 根据事件发展态势，及时向公司突发事件应急领导小组组长报告，并落实指令；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③ 决定是否启动应急响应程序。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（2）环境突发事件应急指挥部办公室：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① 负责向环境突发事件应急指挥部组长报告，接受并传达指令；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② 向环境突发事件应急指挥部报告事件动态，提出是否启动应急响应程序的建议；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③ 召集环境突发事件应急指挥部成员进行会商，研究应急处置措施；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④ 负责应急信息收集，持续跟踪环境突发事件动态；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⑤ 必要时，通知应急指挥部及办公室有关成员、有关专家到公司应急指挥中心集合，协调应急联动。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（3）环境突发事件相关单位：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① 跟踪了解环境突发事件发展态势，及时向环境突发事件应急指挥部办公室汇报，并落实指令；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② 根据指令，准备派出参加现场指挥组的人员；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③ 根据指令，准备调动本单位相关队伍、装备、物资和协调当地政府的应急救援资源。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4、预警解除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当环境突发事件危险已经消除，经过评估确认，公司环境突发事件应急指挥部办公室可适时下达预警解除指令，并将指令信息及时传达至环境突发事件应急指挥部成员和相关单位。</w:t>
      </w:r>
    </w:p>
    <w:p>
      <w:pP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br w:type="page"/>
      </w:r>
    </w:p>
    <w:p>
      <w:pPr>
        <w:pStyle w:val="4"/>
        <w:numPr>
          <w:ilvl w:val="0"/>
          <w:numId w:val="9"/>
        </w:numPr>
        <w:bidi w:val="0"/>
        <w:ind w:left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 </w:t>
      </w:r>
      <w:bookmarkStart w:id="44" w:name="_Toc302"/>
      <w:r>
        <w:rPr>
          <w:rFonts w:hint="default" w:ascii="Times New Roman" w:hAnsi="Times New Roman" w:cs="Times New Roman"/>
          <w:color w:val="auto"/>
          <w:lang w:val="en-US" w:eastAsia="zh-CN"/>
        </w:rPr>
        <w:t>环境保护措施可行性及建议</w:t>
      </w:r>
      <w:bookmarkEnd w:id="44"/>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eastAsia="宋体" w:cs="Times New Roman"/>
          <w:b/>
          <w:bCs/>
          <w:color w:val="auto"/>
          <w:kern w:val="0"/>
          <w:sz w:val="28"/>
          <w:szCs w:val="28"/>
          <w:lang w:val="en-US" w:eastAsia="zh-CN" w:bidi="ar"/>
        </w:rPr>
        <w:t xml:space="preserve">6.1 设计阶段的环境保护措施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6.1.1 社会环境影响减缓措施</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1、建设单位在下一步工作中应严格按照管道沿线地方发改局、规</w:t>
      </w:r>
      <w:r>
        <w:rPr>
          <w:rFonts w:hint="eastAsia" w:ascii="Times New Roman" w:hAnsi="Times New Roman" w:cs="Times New Roman"/>
          <w:color w:val="auto"/>
          <w:kern w:val="0"/>
          <w:sz w:val="24"/>
          <w:szCs w:val="24"/>
          <w:lang w:val="en-US" w:eastAsia="zh-CN" w:bidi="ar"/>
        </w:rPr>
        <w:t>自</w:t>
      </w:r>
      <w:r>
        <w:rPr>
          <w:rFonts w:hint="default" w:ascii="Times New Roman" w:hAnsi="Times New Roman" w:eastAsia="宋体" w:cs="Times New Roman"/>
          <w:color w:val="auto"/>
          <w:kern w:val="0"/>
          <w:sz w:val="24"/>
          <w:szCs w:val="24"/>
          <w:lang w:val="en-US" w:eastAsia="zh-CN" w:bidi="ar"/>
        </w:rPr>
        <w:t>局、</w:t>
      </w:r>
      <w:r>
        <w:rPr>
          <w:rFonts w:hint="eastAsia" w:ascii="Times New Roman" w:hAnsi="Times New Roman" w:cs="Times New Roman"/>
          <w:color w:val="auto"/>
          <w:kern w:val="0"/>
          <w:sz w:val="24"/>
          <w:szCs w:val="24"/>
          <w:lang w:val="en-US" w:eastAsia="zh-CN" w:bidi="ar"/>
        </w:rPr>
        <w:t>生态环境</w:t>
      </w:r>
      <w:r>
        <w:rPr>
          <w:rFonts w:hint="default" w:ascii="Times New Roman" w:hAnsi="Times New Roman" w:eastAsia="宋体" w:cs="Times New Roman"/>
          <w:color w:val="auto"/>
          <w:kern w:val="0"/>
          <w:sz w:val="24"/>
          <w:szCs w:val="24"/>
          <w:lang w:val="en-US" w:eastAsia="zh-CN" w:bidi="ar"/>
        </w:rPr>
        <w:t xml:space="preserve">局、水务局等相关部门提出的如下意见和要求执行。管道穿越林区的路由选择尽量順直，在满足安全距离的基础上，尽可能少砍伐林木；尽可能不占或少占良田、多年种植经济作物区；尽量避绕水域、沼泽地。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2、按照《关于处理石油管道和天然气管道与公路相互关系的若干规定》中管道和公路保持安全距离、减少交叉、增强石油部门与交通部门的沟通等相关要求执行。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3、按照《原油、天然气长输管道与铁路相关关系的若干规定》中的管道和铁路交叉位置的选择、管道的防护措施等相关要求执行。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4、合理规划设计，尽量利用已有道路，特别是国道、省道等，不建或少建施工便道。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5、合理选择站址，管道沿线站场要选择在远离村庄的开阔地带，以最大限度地减少场站运行对周围环境的影响</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6.1.2 生态环境影响减缓措施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1、管线下阶段设计中，应根据本次环评选线要求及建议，避让东河饮用水保护区，建设占地。。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2、管线下阶段设计中，应进一步优化线路走向，应尽可能避让区域内生态价值较高的成片的天然林地。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3、管线对于需要征占用公益林林地的，应严格按照相关管理办法办理审批手续。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4、开工建设前，对施工范围临时设施的规划用地要进行严格审查，以达到既少占用农田和林地，又方便施工的目的</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5、初步设计时应在河流、道路、村庄等穿越段采用管壁加厚、稳管、防腐层加强等措施，在河流穿越段采用了水工防护措施。开挖河渠穿越段施工，选择枯水期进行。建议在初步设计阶段，应明确尽可能避免在农业集中灌溉期间进行河渠开挖施工。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6、在初步设计阶段明确地表肥力土层的临时堆放方案和防止水土流失的临时保护措施设计，确保工程后期地方对工程临时占用耕地进行复垦改造。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6.1.3 水环境影响减缓措施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按照相关设计规范，强化管道的抗震、防洪和防腐设计，尽量避免在地质断裂带、地质灾害频发区穿越，对穿越河流管段等采取可靠的安全防护措施，如加强级防腐、增加管道壁厚、增加管道埋深、配重固定管道、设置监控阀室等，以提高管道抗自然灾害和人为破坏的能力；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2、管道防腐层设计采用三层 PE 材料，工厂预制，现场热收缩套补口，减少在施工过程中防腐材料对土壤造成污染。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3、在设计阶段，应尽量计划在其枯水期时段内施工，以减缓管道施工对水环境的影响。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4、在设计阶段，尽量减少带水作业，加强水下管道埋深。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6.1.4 声环境影响减缓措施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1、将设备工艺区和放空区进行合理布局，将高噪声设备布置在远离环境敏感目标区域。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2、对各工艺场站噪声设备做好治理工作，采用消声装置，机组设置机罩，使设备噪声低于 85dB(A)的设计要求。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3、对各站机房选用隔音门窗；采用网状吸声板泡沫塑料，经过无机化处理，制成不同厚度网状吸声板，防火、防潮、不怕水，可直接安装于轻钢龙骨上或侧墙上，可通过调节吸声板的厚度等来满足降噪要求。</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6.1.5 固体废弃物减缓措施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为避免弃渣堆置不当产生水土流失，工程在施工图阶段，必须提出更为经济可行的弃渣方案、弃渣场的具体位置，合理布设弃渣场，在山区段弃渣应选择在管道附近的荒沟，尽量减小对林地、耕地的占用；必须根据“先挡后弃”的原则，先修筑挡墙，再进行弃渣。施工结束后，进行迹地恢复，也必须进行水保设计，并报经地方水行政主管部门批准后实施。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6.1.6 建议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1、建设单位在下一步工作中必须严格按照当地规划局、发改局、</w:t>
      </w:r>
      <w:r>
        <w:rPr>
          <w:rFonts w:hint="eastAsia" w:ascii="Times New Roman" w:hAnsi="Times New Roman" w:cs="Times New Roman"/>
          <w:color w:val="auto"/>
          <w:kern w:val="0"/>
          <w:sz w:val="24"/>
          <w:szCs w:val="24"/>
          <w:lang w:val="en-US" w:eastAsia="zh-CN" w:bidi="ar"/>
        </w:rPr>
        <w:t>生态环境</w:t>
      </w:r>
      <w:r>
        <w:rPr>
          <w:rFonts w:hint="default" w:ascii="Times New Roman" w:hAnsi="Times New Roman" w:eastAsia="宋体" w:cs="Times New Roman"/>
          <w:color w:val="auto"/>
          <w:kern w:val="0"/>
          <w:sz w:val="24"/>
          <w:szCs w:val="24"/>
          <w:lang w:val="en-US" w:eastAsia="zh-CN" w:bidi="ar"/>
        </w:rPr>
        <w:t xml:space="preserve">局、水务局以及环评单位提出的意见和要求，对管线局部管段进一步优化调整，尽可能避免和降低对涉及区域规划和发展产生的不利影响。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建议项目建设单位应按照委托单位对输气管线沿线区域矿产资源压覆调查评估报告的要求，涉及矿产资源压覆，必须依照矿产资源相关法规的规定和要求，取得主管部门的批准，同时按照国家的补偿标准签订补偿协议并且进行备案。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3、建议建设单位在工程建设中应采纳公众合理意见，优化设计与施工组织，尽可能将工程建设所带来的不利环境影响减到最小。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建议建设单位积极配合沿线地方政府、相关部门和基层组织，大力宣传国家有关土地征用、经济和安置补偿等政策，深入细致地做好土地征占、拆迁户的思想工作，尽可能满足群众合理要求，尽可能避免纠纷，进一步争取地方和人民群众的理解和支持，保持社会的稳定与发展。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5、对持反对意见的个人群众，建议建设单位进一步与地方政府、相关部门协调配合，充分听取基层合理建议，积极进行沟通，在满足管线工程设计相关规范的前提下，尽可能对选线进行优化设计与施工组织；加强宣传，积极充分做好群众的思想工作，采纳他们的合理意见，作出书面承诺，合理补偿，及时补偿，保障农民的基本生产生活。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eastAsia="宋体" w:cs="Times New Roman"/>
          <w:b/>
          <w:bCs/>
          <w:color w:val="auto"/>
          <w:kern w:val="0"/>
          <w:sz w:val="28"/>
          <w:szCs w:val="28"/>
          <w:lang w:val="en-US" w:eastAsia="zh-CN" w:bidi="ar"/>
        </w:rPr>
        <w:t xml:space="preserve">6.2 施工期的对策措施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6.2.1 社会环境影响减缓措施</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1、项目建设尽量不要影响到其它公共设施如通信、水利、公路等的通达通畅。施工结束后要对施工中损坏的田埂、沟渠等要进行恢复。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2、建设单位要加强与管线周围居民的沟通，取得当地居民谅解。造成拆迁的必须按国家和地方标准予以补偿。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3、穿越道路时建设单位首先要征得当地公路、铁路管理部门的同意，在穿越路口前设置荧光安全标志牌和提示牌，并派专人管理；夜间在穿越处两边各挂一蓄电式警示灯，并安排专人值班。同时，尽量缩短穿越处的施工时间，降低对车辆通行的影响。穿越道路时尽量采用顶管施工，减少对现有公路的破坏。如必须对现有道路进行破损施工时，采用半幅施工方式进行。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4、在施工中应注意保护文物线索，一旦发现文物保护单位应及时向当地文物部门汇报，以避免对文物古迹造成不利影响。</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6.2.2 生态环境影响减缓措施 </w:t>
      </w:r>
    </w:p>
    <w:p>
      <w:pPr>
        <w:keepNext w:val="0"/>
        <w:keepLines w:val="0"/>
        <w:widowControl/>
        <w:suppressLineNumbers w:val="0"/>
        <w:jc w:val="left"/>
        <w:rPr>
          <w:rFonts w:hint="default" w:ascii="Times New Roman" w:hAnsi="Times New Roman"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1、占地补偿措施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（1）对工程站场和线路阀室等永久性占地区，根据国家和地方相应征地补偿政策进行补偿。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（2）对管线占地、施工便道等临时占地区，工程施工过程中，应严格按照设计进行施工和开挖，不得超计划占地。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（3）管道沿线不单独设置集中的施工营场地，表土堆放在工程用地范围内。施工中严格按照水保方案，不得新增占地，禁止在施工作业带以外随意堆渣弃土。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2、农业生态恢复措施</w:t>
      </w:r>
      <w:r>
        <w:rPr>
          <w:rFonts w:hint="default" w:ascii="Times New Roman" w:hAnsi="Times New Roman" w:eastAsia="宋体" w:cs="Times New Roman"/>
          <w:color w:val="auto"/>
          <w:kern w:val="0"/>
          <w:sz w:val="24"/>
          <w:szCs w:val="24"/>
          <w:lang w:val="en-US" w:eastAsia="zh-CN" w:bidi="ar"/>
        </w:rPr>
        <w:t xml:space="preserve"> </w:t>
      </w:r>
      <w:bookmarkStart w:id="76" w:name="_GoBack"/>
      <w:bookmarkEnd w:id="76"/>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管线穿越的丘陵及平坝区，植被以人工农田植被为主，针对该段区，提出以下恢复措施：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管道施工过程中要对管沟区的土壤进行分层剥离、分层开挖、分层堆放和循序分层回填。同时要按照恢复耕作设计文件规定的范围，将其剥离并单独堆放用土工布进行临时防护，以便工程结束后用于恢复扰动的农田。以此来尽量降低对土壤养分的影响，尽快恢复农作物产量。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施工中除管沟开挖部分外，其余占地未对原地面土层结构造成破坏，耕作层依然处于最上端，只是因施工人员和机械的践踏和碾压，土壤变得紧实。因此，施工结束后，应通过机械或人蓄等方式进行表层翻动，一般要求深翻表土30~40cm，以保持土壤原有结构。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（3）管线占用基本农田的，要按照《基本农田保护条例》的相关规定及当地政府的要求进行经济补偿或耕地补偿。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（4）施工人员、施工车辆和各种设备应按规定的路线行驶，不得随意破坏道路和农田水利设施等农田基础设施。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（5）农田扰动区域植被恢复以农业种植复垦为主，复垦第一年可考虑固氮型经济作物种植，适当辅助以人工施肥措施，以提高土壤肥力，促进土地生产力恢复。 </w:t>
      </w:r>
    </w:p>
    <w:p>
      <w:pPr>
        <w:keepNext w:val="0"/>
        <w:keepLines w:val="0"/>
        <w:widowControl/>
        <w:suppressLineNumbers w:val="0"/>
        <w:jc w:val="left"/>
        <w:rPr>
          <w:rFonts w:hint="default" w:ascii="Times New Roman" w:hAnsi="Times New Roman"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3、植被恢复措施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（1）、在施工扫线过程中，聘请植被专家参与工作，若在占地区范围内发现该物种的分布，应就近移栽保护。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（2）管道穿越林地时应尽量减小施工作业带宽度，严格禁止砍伐施工作业带以外的树木。在有林地和果园地区，尽量采取人工开挖方式，减小机械作业对林地造成的破坏。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施工便道尽量利用现有道路，通过改造或适当拓宽，一般能满足施工要求即可，避免穿越林地。沿线施工作业带不得随意扩大范围和破坏周围农田、林地植被。尽量减少施工人员及施工机械对作业场外的灌木草丛的破坏；严格规定施工车辆的行驶便道，防止施工车辆在有植被的地段任意行驶。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施工结束后要及时对临时占地进行植被恢复工作，根据因地制宜的原则视沿线具体情况实施：原为农田段，复垦后恢复农业种植；原为林地段，原则上复垦后恢复林地，不能恢复的应结合当地生态环境建设的具体要求，可考虑植草绿化。根据管道有关工程安全性的要求，沿线两侧各 5m 范围内原则上不能种植深根性植物或经济类树木，对这一范围内的林地穿越段，林地损失应按照“占一补一”的原则进行经济补偿和生态补偿。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（5）林地穿越段两侧各 5m 范围内以植草绿化为主，必要时可考虑浅根性半灌木、灌木绿化。其中堤坝防护林穿越段绿化植物种选择要考虑实际固堤效果，优先选择表层根系发达的浅根性植物种；农田防护林穿越段绿化植物种选择既要考虑实际防护效果，也要考虑对农田作物的影响，建议选择表层根系一般发达的浅根性半灌木、灌木树种，可适当稀植。上述绿化植物种选择应对原有林分树种不产生共同寄主病害。</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（6）植物恢复措施物种禁止选取入侵物种，建议选用马桑、火棘、构树、黄荆等灌木对占用林地进行恢复。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7）对于输气管线建设导致保护区部分区域水源涵养能力的下降进行异地补偿，水源保护区的其他水源涵养能力相对较差的区域，对植被进行抚育，提高区域的水源涵养能力，以弥补管道建设所带来的水源涵养能力的下降。 </w:t>
      </w:r>
    </w:p>
    <w:p>
      <w:pPr>
        <w:keepNext w:val="0"/>
        <w:keepLines w:val="0"/>
        <w:widowControl/>
        <w:suppressLineNumbers w:val="0"/>
        <w:jc w:val="left"/>
        <w:rPr>
          <w:rFonts w:hint="default" w:ascii="Times New Roman" w:hAnsi="Times New Roman"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5、动物保护措施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（1）施工单位应对施工人员开展增强野生动物保护意识的宣传工作，杜绝施工人员猎捕施工作业区附近的蛙类、蛇类、鸟类等现象。建议在主要施工场地设置警示牌，提醒施工人员保护野生动物。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（2）严格按照设计要求进行施工，穿越河流段应先做围堰或导流渠，再进行河床开挖，以尽量减小大开挖对跨越河流水体的污染，减小对鱼类栖息地的影响；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（3）穿（跨）越河流施工过程中，应严格要求施工人员杜绝随地吐痰、便溺、丢弃废物的陋习，不能在水体区域内从事钓鱼、洗澡、打鱼等破坏环境的活动。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（4）工期加强管理，严禁狩猎、炸鱼等活动。 </w:t>
      </w:r>
    </w:p>
    <w:p>
      <w:pPr>
        <w:keepNext w:val="0"/>
        <w:keepLines w:val="0"/>
        <w:widowControl/>
        <w:suppressLineNumbers w:val="0"/>
        <w:jc w:val="left"/>
        <w:rPr>
          <w:rFonts w:hint="default" w:ascii="Times New Roman" w:hAnsi="Times New Roman"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6、土壤保护措施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采用挖沟埋管为主的管道施工中，管沟挖过程中实施“分层开挖、分层堆放和分层回填”的措施，开挖过程中生熟土分开堆放，管线建设完毕后及时尽量恢复沿线地表原貌，比如种植新的草地和其他与新环境相宜的植物，使土壤生态环境的影响得到有效的控制。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7、管理措施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1）加强对工程施工的相关领导、技术人员和施工人员的环境保护教育，明确环境保护的重要性，自觉保护周围环境、自然资源。建议建设单位与施工单位共同协商制定相应的环境保护奖惩制度，明确各自的环境保护职责，提高施工主体的环境保护主人翁责任感。</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（2）与当地林业部门加强配合，加强施工期的用火管理，防止森林火灾的发生。加强巡护，防止砍伐树木、捕杀鸟类等伤害野生动植物的行为发生</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6.2.3 水环境影响减缓措施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6.2.3.1 一般地段施工水环境保护措施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施工期废水主要来自施工人员在施工作业中产生的生活污水及管道安装完后清管、试压中排放的废水。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（1）生活污水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在一般地段，施工队伍的吃住一般依托当地的旅馆、饭店和民房。在穿越中型河流施工处，大部分人员住旅馆或当地民居，夜间仅有保卫人员住自备流动房。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在农村区域产生的生活污水依托现有化粪池处理后用于农业施肥，在城镇区域依托旅馆预处理池处理后进入城镇污水处理厂进行处理，施工期产生的生活污水对环境污染基本可以得到控制，不会对环境造成明显影响。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（2）试压废水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试压废水主要含铁锈和泥沙等杂质，经沉淀过滤后排入附近的沟渠河流。由于管道试压是分段进行的，局部排放量相对较少，同时废水中主要含少量铁锈、焊渣和泥砂，因此，经收集进行沉淀处理后，可排入附近功能要求不高的沟渠、河流是可行的。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针对本项目沿线河流较为多的情况，在施工各标段，禁止施工单位向沿线河流中排放污水（包括生活和生产废水）；在试压阶段产生的废水要求施工单位与当地村镇进行良好的沟通，争取做到废水的充分合理利用，同时应做好防范工作，防止废水溢流到附近河流中。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为减少对水资源的浪费，在试压过程中尽量收集好试压废水，提高其重复使用率，同时加强废水的收集和排放的管理与疏导工作，排放去向应符合当地的排水系统要求，杜绝不经处理任意排放，避免造成局部土壤流失。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6.2.3.2 大开挖穿越河流减缓措施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（1）施工前环境影响预防措施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大开挖施工应选择合理的时段实施。为了防止各种沉积物冲刷进入河流，应尽量选择在干燥的旱季施工，可避免大雨造成的冲刷和水土流失问题。</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必须在施工前编制和实施施工机械用燃料油、有害物质泄漏，突发洪水、山洪等事件的应急计划，防止此类事件引发水环境污染。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必须在施工前编制突发环境事件应急监测计划，并报送当地环保主管部门备案。必要时，应在施工前通知当地相关环保主管部门。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（2）施工中防治泄漏污染措施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不设置施工营地，施工人员居住尽量就近租用农户现有房屋，施工临时厕所不能搭建在穿越河流施工段的两堤外堤脚内，粪便及生活垃圾应及时用土填埋覆盖和清理，作为农作物的肥料和送交当地环卫部门。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在穿越河流施工段的两堤外堤脚内，不准给施工机械加油或存放油品储罐，不准在河流主流区和漫滩区内清洗施工机械或车辆。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不能在河道中或地面上排放或丢弃施工机械用燃料油或其他废物。确保废物储存场所严格封闭和防渗，避免污染物溢出影响水体水质。施工机械加燃料油，换润滑油、机油时，必须避开流域高点，以减小潜在的对河流的影响风险。换掉的废润滑油、废机油必须妥善回收并送交有资质的单位处理，避免进入水体形成二次污染。防止施工污染物的任意弃置，特别是防止设备漏油遗撒在水体中。防止设备漏油污染的主要措施包括：确保设备燃料、润滑油储存部件完好，避免泄漏发生；设备操作应正确、合理，避免泄漏引发污染。在易发生泄露的设备底部铺防漏油布并在重点地方设立接油盘；为了防止漏油后蔓延，在设备周围设置围堰，并及时清理漏油。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燃料油运输车辆的停放点、燃料油储存的地面、泵区等有害物质源区，必须留有足够容积，以确保有害物质不进入水体和鱼类栖息场所。采取严格措施防止燃料油泄漏污染水体。燃料油容器、软管、喷嘴应完好无泄漏；所有的燃料油喷嘴具备自动关断功能：加燃料油时，如果一名操作员站在加油软管一端看不到另一端，则必须在软管两端分别有操作员值守；应在一个加油周期结束后将软管内的存油回收至燃料油容器中。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对于管沟开挖或河床开挖时产生的渗出水排放，影响是局部的，在河水流过一段距离后，由于泥沙的重新沉积会使河水的水质恢复到原有状况。为了控制和减少影响，对水质要求较高的河流，应采取先经渗坑过滤后再排入河流的办法。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（3）扫线、开沟环保措施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管道扫线前要明确标记出扫线边界，使扫线范围最小化，减少侵蚀量和栖息地破坏程度。尽量避免在坡度较大和近河岸地区提前扫线，应在穿越施工开始前扫线，避免裸露地面引起侵蚀量增大，特别是防止遇暴雨侵蚀量陡增的问题。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如果必须有岸边伐木操作，应保留一些木材作为临时桥梁、木排路等，尽量使建设、建筑材料的运输减少侵蚀量。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尽量限制在水体附近进行植被除根作业，特别是距离水体 l0m 之内，尽量保留低矮草本植物，以控制沿岸侵蚀物进入水体。不过，有时近岸植被也可能被施工机械碾压后带入水体中形成悬浮物污染源；所以，使进入水体的各种杂质最小化是判断是否在近水体地区保留适当植被的标准。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开挖管沟时产生的表层土要与下层土分开堆放，堆土要有一定坡度和宽度，减少侵蚀的发生。在坡顶开沟形成的表土堆，应设置专门的措施，防止大面积突发侵蚀事故的发生。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如果不能立即回填管沟，需要将表土在沟外摆放较长时间(例如过冬等)，须用植物茎杆、藤蔓覆盖表层，减少水土流失。必需要进行坡度缓和作业，在坡向水体的急坡区域，在管沟两侧一定范围内削成阶梯状坡面，可以大大控制穿越过程中的侵蚀强度，稳定土层。但应注意削坡产物的堆放，应集中堆放在远离水体的低洼地带，并进行必要的植被恢复工作。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管道应在岸上焊接完成后拖曳进入管沟。建议在焊接、补口、试压等操作后再开挖管沟。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（4）试压过程产生的污水、工艺站场施工过程中各种施工机械设备洗涤和施工现场清洗、建材清洗等产生的污水，必须排放隔油沉淀池处理，除试压废水外，其它废水全部回用，不得直接外排。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（5）恢复阶段环保措施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必须在管道穿越敷设完成后清理干净拦水坝，恢复河道原貌。管沟回填后多余土石方可均匀堆积于河道穿越区岸坡背水侧，压实，或用于修筑堤坝；必须注意围堰土在施工结束后的清理工作，避免阻塞河道，可将这些土方用于修筑堤坝；严格执行河道管理的有关规定，尽量减少对堤坝等水工安全设施的影响。</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在穿越施工中的拦水坝间水(悬浮物含量高)，必须在拦水坝清理之前排放到岸上进行沉淀。施工结束表层覆土回填后，岸边要进行合理的植被恢复。是否在新植被恢复地区施化肥要具体分析，防止水体富营养化污染。</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6.2.3.3 定向钻穿越的环境保护措施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本项目采用定向钻施工的方式穿越东河，为了最大限度的减轻定向钻施工对穿越水体的影响，施工过程中针对可能的各种环境影响须实施的环保措施详见下表</w:t>
      </w:r>
    </w:p>
    <w:p>
      <w:pPr>
        <w:keepNext w:val="0"/>
        <w:keepLines w:val="0"/>
        <w:widowControl/>
        <w:suppressLineNumbers w:val="0"/>
        <w:jc w:val="center"/>
        <w:rPr>
          <w:rFonts w:hint="default" w:ascii="Times New Roman" w:hAnsi="Times New Roman" w:cs="Times New Roman"/>
          <w:color w:val="auto"/>
        </w:rPr>
      </w:pPr>
      <w:r>
        <w:rPr>
          <w:rFonts w:hint="default" w:ascii="Times New Roman" w:hAnsi="Times New Roman" w:eastAsia="宋体" w:cs="Times New Roman"/>
          <w:b/>
          <w:bCs/>
          <w:color w:val="auto"/>
          <w:kern w:val="0"/>
          <w:sz w:val="21"/>
          <w:szCs w:val="21"/>
          <w:lang w:val="en-US" w:eastAsia="zh-CN" w:bidi="ar"/>
        </w:rPr>
        <w:t>表 6.2-1 定向钻施工须实施的环保措施</w:t>
      </w:r>
    </w:p>
    <w:tbl>
      <w:tblPr>
        <w:tblStyle w:val="24"/>
        <w:tblW w:w="9174"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Layout w:type="fixed"/>
        <w:tblCellMar>
          <w:top w:w="0" w:type="dxa"/>
          <w:left w:w="108" w:type="dxa"/>
          <w:bottom w:w="0" w:type="dxa"/>
          <w:right w:w="108" w:type="dxa"/>
        </w:tblCellMar>
      </w:tblPr>
      <w:tblGrid>
        <w:gridCol w:w="2673"/>
        <w:gridCol w:w="6501"/>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270" w:hRule="atLeast"/>
          <w:jc w:val="center"/>
        </w:trPr>
        <w:tc>
          <w:tcPr>
            <w:tcW w:w="2673"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施工可能造成的环境影响</w:t>
            </w:r>
          </w:p>
        </w:tc>
        <w:tc>
          <w:tcPr>
            <w:tcW w:w="6501"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须实施的环保措施</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270" w:hRule="atLeast"/>
          <w:jc w:val="center"/>
        </w:trPr>
        <w:tc>
          <w:tcPr>
            <w:tcW w:w="2673" w:type="dxa"/>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水体水质变差</w:t>
            </w:r>
          </w:p>
        </w:tc>
        <w:tc>
          <w:tcPr>
            <w:tcW w:w="6501"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禁止向穿越的河流水体和相连的有关支流排放污水和一切污染物。</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270" w:hRule="atLeast"/>
          <w:jc w:val="center"/>
        </w:trPr>
        <w:tc>
          <w:tcPr>
            <w:tcW w:w="2673" w:type="dxa"/>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501"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施工场地所应尽量远离河道，防止生活污水和生活垃圾直接进入河道。</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270" w:hRule="atLeast"/>
          <w:jc w:val="center"/>
        </w:trPr>
        <w:tc>
          <w:tcPr>
            <w:tcW w:w="2673"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油类污染水体</w:t>
            </w:r>
          </w:p>
        </w:tc>
        <w:tc>
          <w:tcPr>
            <w:tcW w:w="6501"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在河流两岸堤防以内不准给施工机械加油或存放油品储罐，不准在穿越的河流和相连的有关支流内清洗施工机械、排放污水。</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270" w:hRule="atLeast"/>
          <w:jc w:val="center"/>
        </w:trPr>
        <w:tc>
          <w:tcPr>
            <w:tcW w:w="2673"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废泥浆污染地表水或岸区地下水</w:t>
            </w:r>
          </w:p>
        </w:tc>
        <w:tc>
          <w:tcPr>
            <w:tcW w:w="6501"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优先选用无毒泥浆，泥浆池要设防渗膜并要考虑一定的余量，以防雨水冲刷外溢；泥浆池的位置要尽量远离河边，确保泥浆不会流入水体。</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270" w:hRule="atLeast"/>
          <w:jc w:val="center"/>
        </w:trPr>
        <w:tc>
          <w:tcPr>
            <w:tcW w:w="2673"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弃渣可能污染地表水或岸区地下水</w:t>
            </w:r>
          </w:p>
        </w:tc>
        <w:tc>
          <w:tcPr>
            <w:tcW w:w="6501"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定向钻施工时，产生的弃渣要妥善处置，需要设弃渣场的根据弃渣量按设计规范设置弃渣场。</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270" w:hRule="atLeast"/>
          <w:jc w:val="center"/>
        </w:trPr>
        <w:tc>
          <w:tcPr>
            <w:tcW w:w="2673"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可能引起水土流失</w:t>
            </w:r>
          </w:p>
        </w:tc>
        <w:tc>
          <w:tcPr>
            <w:tcW w:w="6501"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施工结束后要尽快恢复场地的原貌，减少水土流失。</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270" w:hRule="atLeast"/>
          <w:jc w:val="center"/>
        </w:trPr>
        <w:tc>
          <w:tcPr>
            <w:tcW w:w="2673"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试压水中污染物可能污染水体</w:t>
            </w:r>
          </w:p>
        </w:tc>
        <w:tc>
          <w:tcPr>
            <w:tcW w:w="6501"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严禁向水源保护区的河道内排放管道试压水，试压水尽量经沉淀后回用，无法回用于本项目时可用于区域内农田灌溉或林地洒水，严禁直排。</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70" w:hRule="atLeast"/>
          <w:jc w:val="center"/>
        </w:trPr>
        <w:tc>
          <w:tcPr>
            <w:tcW w:w="2673"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废弃泥浆</w:t>
            </w:r>
          </w:p>
        </w:tc>
        <w:tc>
          <w:tcPr>
            <w:tcW w:w="6501"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管道定向钻穿越环境敏感水体时废弃泥浆固化后，必须在敏感水体保护区外选择地点进行填埋或送环保局指定地点填埋。废弃泥浆处置可在泥浆池中固化后就地掩埋，并覆 30～50cm 耕作土恢复种植，或与当地签定处理协议，钻屑用于加筑堤坝和进行场地恢复。废弃泥浆池设置尽量远离河边，设置在西河水产种植资源保护区和饮用水源保护区外，在施工结束后将废弃泥浆清运至地环保部门规定的地点进行填埋处置，同时利用土壤恢复泥浆池的地表原貌。</w:t>
            </w:r>
          </w:p>
        </w:tc>
      </w:tr>
    </w:tbl>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6.2.4 地下水防治措施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1、污水集中处理。生产废水经过沉淀后用于绿化、洒水降尘等。生活污水经过区域内已有污水处理设施处理。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2、合理选择施工场地，禁止将污水、废料和其它施工机械的废油等污染物抛入水体，应收集后和工地上的污染物一并处理。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3、施工要避开雨季，尽量缩短施工期，使土壤暴露时间缩短，并快速回填。并进行生态恢复。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4、场站地面需水泥浇灌地板防渗，四周修截水沟，雨污分流。场地中修建事故池。</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6.2.5 大气环境影响减缓措施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为减少项目施工对沿线大气环境的影响，本次评价提出以下减缓措施：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按照“六必须、六不准”要求进行施工，必须打围作业、必须硬化道路、必须设置冲洗设施、必须湿法作业、必须配齐保洁人员、必须定时清扫施工现场；不准车辆带泥出门，不准运渣车辆冒顶装载、不准高空抛撒建渣、不准现场搅拌混凝土、不准场地积水、不准现场焚烧废弃物。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2、采取湿法作业，施工场地在非雨天场地干燥时适量洒水，保持施工区土壤水分，洒水区域包括正在施工的路段、主要运输道路等。洒水频次由现场监理人员根据实际情况而定，在施工场地清理阶段，做到先洒水，后清扫，防止扬尘产生；</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风速四级以上易产生扬尘时暂停土方开挖，采取覆盖堆料、湿润等措施，有效减少扬尘污染；及时清运施工废弃物，暂时不能清运的应采取覆盖等措施，运输沙、石、水泥、土方等易产尘物质的车辆必须封盖严密，严禁洒漏；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4、禁止散装运输水泥等粉状物料，严禁运输途中扬尘散落，储存时应堆入库房。必要时设围栏并用篷布覆盖，定时洒水防止飞扬；土、砂、石料运输禁止超载，装高不得超过车厢板，并盖篷布，严禁沿途撒落；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5、开挖施工过程中产生的扬尘，采用洒水车定期对作业面和土堆洒水，使其保持一定湿度，降低施工期的粉尘散发量；在施工现场进行合理化管理，统一堆放材料，设置专门库房堆放水泥，尽量减少搬运环节，搬运时轻举轻放，防止包装袋破裂；施工现场设置围栏或部分围栏，缩小施工扬尘的扩散范围；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6、保持运输车辆完好，不过满装载，尽量采取遮盖、密闭措施，减少沿程抛洒，及时清扫散落在路面上的泥土和建筑材料，冲洗轮胎，定时洒水压尘，减少运输过程中的扬尘；施工扬尘量随管理手段的提高而降低，如果管理措施得当，扬尘量将降低 50～70%，大大减少对环境的影响。合理科学制定运输车辆运行班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次，减少行驶动力扬尘起尘量；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7、对运输渣土的机动车辆定期清洗车轮和车体、用帆布覆盖易起扬尘的物料以防在运输过程中发生渣土撒漏，污染国道、省道或其他城乡道路，减少扬尘的产生。在运输车辆通过乡村土路时，减速行驶，减少扬尘对周围农田、水体、村庄等的污染。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8、施工结束时及时清理施工场地，及时对敷管施工占用场地和站场用地恢复植被，减少地面裸露的时间。对施工场地、堆料场等，除及时进行清理外，恢复临时占地原有使用功能。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9、本项目在施工过程中，加强对施工队伍的管理，如建立施工规章制度，找通过 IS014000 认证的施工单位等。对施工人员实行劳动保护，在必要时佩戴口罩等防尘用品。</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6.2.6 声环境影响减缓措施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施工单位必须选用符合国家有关标准的施工机具和运输车辆，尽量选用低噪声的施工机械和工艺，振动较大的固定机械设备应加装减振机座，同时加强各类施工设备的维护和保养，保持其良好的工况，以便从根本上降低噪声源强。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2、在居民区附近施工时严格执行当地政府控制规定，特别是居民区，严禁在夜间（晚上 10 时至次日 6 时）、午休时间、中高考期间进行高噪声施工。若必须在夜间施工需向环保部门申请，批准后才能根据规定施工。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3、在施工中严格控制作业时间，根据具体情况，合理安排施工时间，提高操作水平，与周围居民做好沟通工作，减少对敏感地点的影响，防止发生噪声扰民现象。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4、运输车辆应尽可能减少鸣笛，尤其是在晚间和午休时间。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5、合理布局施工现场，避免在同一地点安排大量动力机械设备，以免局部声级过高。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6、建立临时声障，在施工过程中可根据情况适当建立单面声障。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7、加强施工期的监测和施工期管理，管线开挖点距离居民点较近时，高噪声机械作业时间应避开中午和夜间施工，并尽可能缩短工期，避免影响居民的正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常休息。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6.2.7 固体废弃物影响减缓措施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施工期产生的固体废物主要为生活垃圾、废弃泥浆、工程弃土、施工废料和弃渣等。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施工期产生的生活垃圾具有较大的分散性，且持续时间短。施工人员吃住依托当地的旅馆和饭店或民居，其废水及垃圾处理均依托当地的处理设施，不能依托的，使用垃圾桶收集起来统一送环卫部门处理。不能随意丢弃造成环境污染。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2、管道穿越施工过程中产生的废弃泥浆经过固化后，环境生态敏感区外选择地点进行填埋或送环保局指定地点填埋。废弃泥浆处置可在泥浆池中固化后就地掩埋，并覆 30～50cm 耕作土恢复种植，或与当地签定处理协议，钻屑用于加筑堤坝和进行场地恢复。废弃泥浆池设置尽量远离河边，在施工结束后将废弃泥段采取不同的措施，将该部分土石方全部利用。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（1）在耕作区开挖时，熟土（表层耕作土）和生土（下层土）土分开堆放管沟回填按生、熟土顺序填放，保护耕作层。回填后管沟上方留有自然沉降余量（高出地面 0.3～0.5m），多余土方就近平整。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（2）在穿越公路、铁路时，顶管产生的多余泥土和碎石用于地方乡道建设填料、或道路护坡。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4、施工废料主要包括焊接作业中产生废焊条及施工过程中产生的废混凝土等。施工废料部分可回收利用，剩余废料依托当地职能部门有偿清运。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5、弃渣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根据本项目的水土保持报告的结论，项目土石方在各个功能区内进行调配，做到土石方挖填平衡。</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6.2.8 对文物的保护对策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1、管道工程施工时须经原公布的人民政府和上一级文化行政部门同意。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2、进行施工图设计时，对工程涉及的事先会同省、市、县文化行政管理部门确定保护措施，列入任务书。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3、施工单位在文物保护区境内施工时，应按《文物保护法》规定及地方文物保护部门的要求施工。在施工过程中，一旦发现文物，应立即停工，上报当地文物保护主管部门，在文物保护主管部门保护性发掘完成后，才能重新开工。</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6.2.9 对道路交通影响的防治对策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本项目穿越的干线道路及地方重要道路均采用顶管或定向钻的方式穿越，对交通几乎没影响；对于小的乡道，采用开挖方式穿越的道路，建设单位应与施工单位共同制定施工方案，方案中需要考虑到在交通敏感的道路附近设计临时便道，并做到在尽可能短的时间内完成道路开挖、管道埋设、泥土回填等工作。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2、施工时，挖出的泥土除回填以外，应及时清运，以免泥土堆积占用道路、影响交通，保证开挖道路的交通运行。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3、在当地的交通高峰时间，应停止或减少施工运输车辆，以减少拥挤度，防止发生交通事故。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4、施工路段应设交通标识符，夜间设醒目的交通标志灯。各施工路段还应设安全监督员，防止行人及交通工具误落开挖的沟内。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5、凡造成道路和通道数目减少的地方，应用交通灯或由交通管理人员进行疏导。 </w:t>
      </w:r>
    </w:p>
    <w:p>
      <w:pPr>
        <w:keepNext w:val="0"/>
        <w:keepLines w:val="0"/>
        <w:widowControl/>
        <w:suppressLineNumbers w:val="0"/>
        <w:spacing w:line="360" w:lineRule="auto"/>
        <w:ind w:left="0" w:leftChars="0" w:firstLine="0" w:firstLineChars="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eastAsia="宋体" w:cs="Times New Roman"/>
          <w:b/>
          <w:bCs/>
          <w:color w:val="auto"/>
          <w:kern w:val="0"/>
          <w:sz w:val="28"/>
          <w:szCs w:val="28"/>
          <w:lang w:val="en-US" w:eastAsia="zh-CN" w:bidi="ar"/>
        </w:rPr>
        <w:t xml:space="preserve">6.3 运营期的环境保护措施 </w:t>
      </w:r>
    </w:p>
    <w:p>
      <w:pPr>
        <w:keepNext w:val="0"/>
        <w:keepLines w:val="0"/>
        <w:widowControl/>
        <w:suppressLineNumbers w:val="0"/>
        <w:spacing w:line="360" w:lineRule="auto"/>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6.3.1 废气防治措施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根据工程分析，项目运营期正常生产时，天然气处于完全密闭系统内，无废气产生。其废气主要是清管、超压和事故检修时放空的废气。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天然气若发生超压放空时，为防止事故和减少非甲烷总烃的排放量，对放空的天然气采用点火燃烧。燃烧烟气中主要污染物为 NOx。从以往同类管道站场的验收评价来看，以上环境空气污染防治措施可行，放空时间短，站场周围的环境空气质量不会低于现有功能，大气环境保护措施具有经济技术可行性。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6.3.2 废水防治措施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本项目运营期废水主要为站场内生活污水和气田水。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元坝首站和新场末站均为在原址扩建，不新增员工，陵江清管站为无人值守站，仅绵值班室产生生活污水，生活污水经化粪池处理后，用于场站绿化和周围农户的农灌。元坝作业区废水进入市政管网，不外排，对环境影响较小</w:t>
      </w:r>
    </w:p>
    <w:p>
      <w:pPr>
        <w:keepNext w:val="0"/>
        <w:keepLines w:val="0"/>
        <w:widowControl/>
        <w:suppressLineNumbers w:val="0"/>
        <w:spacing w:line="360" w:lineRule="auto"/>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6.3.3 声环境防治措施 </w:t>
      </w:r>
    </w:p>
    <w:p>
      <w:pPr>
        <w:keepNext w:val="0"/>
        <w:keepLines w:val="0"/>
        <w:widowControl/>
        <w:suppressLineNumbers w:val="0"/>
        <w:spacing w:line="360" w:lineRule="auto"/>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1、站场选址远离居民区。 </w:t>
      </w:r>
    </w:p>
    <w:p>
      <w:pPr>
        <w:keepNext w:val="0"/>
        <w:keepLines w:val="0"/>
        <w:widowControl/>
        <w:suppressLineNumbers w:val="0"/>
        <w:spacing w:line="360" w:lineRule="auto"/>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2、设备选型尽可能选择低噪声设备，放空口安装消声器。 </w:t>
      </w:r>
    </w:p>
    <w:p>
      <w:pPr>
        <w:keepNext w:val="0"/>
        <w:keepLines w:val="0"/>
        <w:widowControl/>
        <w:suppressLineNumbers w:val="0"/>
        <w:spacing w:line="360" w:lineRule="auto"/>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3、进行站场合理布局，控制气体流速，并在工艺设计中考虑减少站场工艺管线的弯头、三通等管件，降低输气站内的噪声。 </w:t>
      </w:r>
    </w:p>
    <w:p>
      <w:pPr>
        <w:keepNext w:val="0"/>
        <w:keepLines w:val="0"/>
        <w:widowControl/>
        <w:suppressLineNumbers w:val="0"/>
        <w:spacing w:line="360" w:lineRule="auto"/>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采用上述措施后，各站场能达到相关标准的要求，所采用措施具有经济技术可行性</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6.3.4 固体废弃物治理措施 </w:t>
      </w:r>
    </w:p>
    <w:p>
      <w:pPr>
        <w:keepNext w:val="0"/>
        <w:keepLines w:val="0"/>
        <w:widowControl/>
        <w:suppressLineNumbers w:val="0"/>
        <w:spacing w:line="360" w:lineRule="auto"/>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营运期采用密闭输气工艺，营运期固体废物主要为各站场职工产生的生活垃圾。本项目在运营过程中仅在绵阳分输站有员工，生活垃圾定期清运至城市垃圾填埋场填埋处理，不会对环境造成明显影响。 </w:t>
      </w:r>
    </w:p>
    <w:p>
      <w:pPr>
        <w:keepNext w:val="0"/>
        <w:keepLines w:val="0"/>
        <w:widowControl/>
        <w:suppressLineNumbers w:val="0"/>
        <w:spacing w:line="360" w:lineRule="auto"/>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由于本工程的固体废弃物均属一般废物，因此拟采取的固体废物可行。</w:t>
      </w:r>
    </w:p>
    <w:p>
      <w:pPr>
        <w:keepNext w:val="0"/>
        <w:keepLines w:val="0"/>
        <w:widowControl/>
        <w:suppressLineNumbers w:val="0"/>
        <w:spacing w:line="360" w:lineRule="auto"/>
        <w:ind w:left="0" w:leftChars="0" w:firstLine="0" w:firstLineChars="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eastAsia="宋体" w:cs="Times New Roman"/>
          <w:b/>
          <w:bCs/>
          <w:color w:val="auto"/>
          <w:kern w:val="0"/>
          <w:sz w:val="28"/>
          <w:szCs w:val="28"/>
          <w:lang w:val="en-US" w:eastAsia="zh-CN" w:bidi="ar"/>
        </w:rPr>
        <w:t xml:space="preserve">6.4 生态敏感区影响减缓措施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6.</w:t>
      </w:r>
      <w:r>
        <w:rPr>
          <w:rFonts w:hint="default" w:ascii="Times New Roman" w:hAnsi="Times New Roman" w:cs="Times New Roman"/>
          <w:b/>
          <w:bCs/>
          <w:color w:val="auto"/>
          <w:kern w:val="0"/>
          <w:sz w:val="24"/>
          <w:szCs w:val="24"/>
          <w:lang w:val="en-US" w:eastAsia="zh-CN" w:bidi="ar"/>
        </w:rPr>
        <w:t>4</w:t>
      </w:r>
      <w:r>
        <w:rPr>
          <w:rFonts w:hint="default" w:ascii="Times New Roman" w:hAnsi="Times New Roman" w:eastAsia="宋体" w:cs="Times New Roman"/>
          <w:b/>
          <w:bCs/>
          <w:color w:val="auto"/>
          <w:kern w:val="0"/>
          <w:sz w:val="24"/>
          <w:szCs w:val="24"/>
          <w:lang w:val="en-US" w:eastAsia="zh-CN" w:bidi="ar"/>
        </w:rPr>
        <w:t xml:space="preserve">.1 一般性措施 </w:t>
      </w:r>
    </w:p>
    <w:p>
      <w:pPr>
        <w:keepNext w:val="0"/>
        <w:keepLines w:val="0"/>
        <w:widowControl/>
        <w:suppressLineNumbers w:val="0"/>
        <w:ind w:left="0" w:leftChars="0" w:firstLine="0" w:firstLineChars="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6.4.1.1 输气管线建设生态环保措施及要求</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（1）加强施工管理，确保施工期间的保护区环境管理，并接受当地环保、林业和水土保持主管部门的监督。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管沟开挖时对土壤实行分层开挖、分层堆放和分层回填的方法，并保证施工完成后恢复管道沿线的植被和地貌，对作业区外缘被破坏的植被进行复种和复植，其覆盖率不得低于原有水平。回填后多余的土应平铺在田间或作为田埂等，不得随意丢弃。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（3）保护区内尽量利用已有公路运输管道等物资，施工车辆、机械和人员走固定线路。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（4）加强施工人员管理，严格控制施工作业带范围，并防止人为对沿线动植物造成破坏。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（5）管道线路的选择上，尽量避开沿线的不良工程地质灾害地段。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6）加强教育，规范施工人员的行为，爱护花草树木，严禁砍伐、破坏施工区外的作物和植被，严禁采摘花果。不准乱挖、乱采野生植物，不准随便破坏野生动物巢穴，严禁捕杀野生动物施工应尽量避开农作物生长季节，减少农业生产的损失。约束其在非施工时间的活动范围。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（7）减少夜间作业，避免灯光、噪声对夜间动物的惊扰。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（8）在林地施工，要减少施工作业人员，尽量采用人工作业，少用机械，以减少对林木的破坏。不得破坏作业带以外的林木，同时做好还林、补林和林木移栽工作措施。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（9）管材临时堆放处应选择土地相对贫瘠处堆放，施工后应及时恢复地表植被。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（10）对于林地的破坏，应做到损失多少，恢复多少，可原地补偿或异地补偿。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（11）对于林区内的管道施工，应预先编制施工安全预案，确保林区内的施工安全。林区段管沟开挖严禁采用爆破方式进行；管沟成型组焊前，应清除管沟附近的树枝、树叶，组焊建议采用沟下焊方式。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（12）在施工线路及附近区域，开展巡护管理，发现问题及时处理。对有损野生动植物和生态环境的砍伐、采摘、偷猎、野外用火等行为及时处理，坚决杜绝。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6.</w:t>
      </w:r>
      <w:r>
        <w:rPr>
          <w:rFonts w:hint="default" w:ascii="Times New Roman" w:hAnsi="Times New Roman" w:cs="Times New Roman"/>
          <w:b/>
          <w:bCs/>
          <w:color w:val="auto"/>
          <w:kern w:val="0"/>
          <w:sz w:val="24"/>
          <w:szCs w:val="24"/>
          <w:lang w:val="en-US" w:eastAsia="zh-CN" w:bidi="ar"/>
        </w:rPr>
        <w:t>4</w:t>
      </w:r>
      <w:r>
        <w:rPr>
          <w:rFonts w:hint="default" w:ascii="Times New Roman" w:hAnsi="Times New Roman" w:eastAsia="宋体" w:cs="Times New Roman"/>
          <w:b/>
          <w:bCs/>
          <w:color w:val="auto"/>
          <w:kern w:val="0"/>
          <w:sz w:val="24"/>
          <w:szCs w:val="24"/>
          <w:lang w:val="en-US" w:eastAsia="zh-CN" w:bidi="ar"/>
        </w:rPr>
        <w:t xml:space="preserve">.1.2 施工期环境监理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由于管道工程沿线穿越的生态敏感区较多，必须开展施工期的环境监理工作，由专业的环境监理人员，对工程施工期的环保措施落实情况进行巡查，确保工程符合环保要求，监督环评报告提出的环保措施的落实，对存在环境问题的施工区随时进行跟踪检查。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施工期环境监理工作应对工程承包商的以下工作进行现场监督管理：动植物保护、噪声污染控制、水质保护、挖填方回填情况、固体废物处置（包括生活垃圾、废焊条、废包装材料等）、水土保持工程等，检查环保措施的落实情况。</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6.</w:t>
      </w:r>
      <w:r>
        <w:rPr>
          <w:rFonts w:hint="default" w:ascii="Times New Roman" w:hAnsi="Times New Roman" w:cs="Times New Roman"/>
          <w:b/>
          <w:bCs/>
          <w:color w:val="auto"/>
          <w:kern w:val="0"/>
          <w:sz w:val="24"/>
          <w:szCs w:val="24"/>
          <w:lang w:val="en-US" w:eastAsia="zh-CN" w:bidi="ar"/>
        </w:rPr>
        <w:t>4</w:t>
      </w:r>
      <w:r>
        <w:rPr>
          <w:rFonts w:hint="default" w:ascii="Times New Roman" w:hAnsi="Times New Roman" w:eastAsia="宋体" w:cs="Times New Roman"/>
          <w:b/>
          <w:bCs/>
          <w:color w:val="auto"/>
          <w:kern w:val="0"/>
          <w:sz w:val="24"/>
          <w:szCs w:val="24"/>
          <w:lang w:val="en-US" w:eastAsia="zh-CN" w:bidi="ar"/>
        </w:rPr>
        <w:t xml:space="preserve">.2 野生植物保护措施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eastAsia="宋体" w:cs="Times New Roman"/>
          <w:b/>
          <w:bCs/>
          <w:color w:val="auto"/>
          <w:kern w:val="0"/>
          <w:sz w:val="24"/>
          <w:szCs w:val="24"/>
          <w:lang w:val="en-US" w:eastAsia="zh-CN" w:bidi="ar"/>
        </w:rPr>
        <w:t>6.</w:t>
      </w:r>
      <w:r>
        <w:rPr>
          <w:rFonts w:hint="default" w:ascii="Times New Roman" w:hAnsi="Times New Roman" w:cs="Times New Roman"/>
          <w:b/>
          <w:bCs/>
          <w:color w:val="auto"/>
          <w:kern w:val="0"/>
          <w:sz w:val="24"/>
          <w:szCs w:val="24"/>
          <w:lang w:val="en-US" w:eastAsia="zh-CN" w:bidi="ar"/>
        </w:rPr>
        <w:t>4</w:t>
      </w:r>
      <w:r>
        <w:rPr>
          <w:rFonts w:hint="default" w:ascii="Times New Roman" w:hAnsi="Times New Roman" w:eastAsia="宋体" w:cs="Times New Roman"/>
          <w:b/>
          <w:bCs/>
          <w:color w:val="auto"/>
          <w:kern w:val="0"/>
          <w:sz w:val="24"/>
          <w:szCs w:val="24"/>
          <w:lang w:val="en-US" w:eastAsia="zh-CN" w:bidi="ar"/>
        </w:rPr>
        <w:t xml:space="preserve">.2.1 施工期保护措施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施工人员及器械进入工区开展施工活动，施工用火、生活用火频率大大提高，一旦发生火灾火势极易蔓延至评价区，给保护区内陆生植被带来潜在威胁。因此，施工期保护区面临较高的火灾威胁。施工方应该配合保护区的防火工作，积极贯彻《森林防火条例》，加强防火宣传教育，做好施工人员吸烟以及其它生活和生产用火的火源管理。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施工区应配备一定数量的森林防火设备，拟在剑阁段和梓潼段分别配置风力灭火机各3台、干粉灭火器各5个、多用铲各6把、组合工具各5套、消防水袋及灭火水枪各3套（表 6.4-1）。</w:t>
      </w:r>
    </w:p>
    <w:p>
      <w:pPr>
        <w:keepNext w:val="0"/>
        <w:keepLines w:val="0"/>
        <w:widowControl/>
        <w:suppressLineNumbers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eastAsia="zh-CN"/>
        </w:rPr>
        <w:t>表</w:t>
      </w:r>
      <w:r>
        <w:rPr>
          <w:rFonts w:hint="default" w:ascii="Times New Roman" w:hAnsi="Times New Roman" w:cs="Times New Roman"/>
          <w:b/>
          <w:bCs/>
          <w:color w:val="auto"/>
          <w:sz w:val="21"/>
          <w:szCs w:val="21"/>
          <w:lang w:val="en-US" w:eastAsia="zh-CN"/>
        </w:rPr>
        <w:t>6.4-1 森林防火设备购置表</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Layout w:type="autofit"/>
        <w:tblCellMar>
          <w:top w:w="0" w:type="dxa"/>
          <w:left w:w="108" w:type="dxa"/>
          <w:bottom w:w="0" w:type="dxa"/>
          <w:right w:w="108" w:type="dxa"/>
        </w:tblCellMar>
      </w:tblPr>
      <w:tblGrid>
        <w:gridCol w:w="3090"/>
        <w:gridCol w:w="1519"/>
        <w:gridCol w:w="1519"/>
        <w:gridCol w:w="1523"/>
        <w:gridCol w:w="151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70" w:hRule="atLeast"/>
        </w:trPr>
        <w:tc>
          <w:tcPr>
            <w:tcW w:w="168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森林防火设备</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单位</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数量</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单价（元）</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投资（万元）</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70" w:hRule="atLeast"/>
        </w:trPr>
        <w:tc>
          <w:tcPr>
            <w:tcW w:w="168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风力灭火器</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台</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2000</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70" w:hRule="atLeast"/>
        </w:trPr>
        <w:tc>
          <w:tcPr>
            <w:tcW w:w="168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干粉灭火器</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个</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60</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70" w:hRule="atLeast"/>
        </w:trPr>
        <w:tc>
          <w:tcPr>
            <w:tcW w:w="168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多用铲</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把</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270" w:hRule="atLeast"/>
        </w:trPr>
        <w:tc>
          <w:tcPr>
            <w:tcW w:w="168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组合工具</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组</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70" w:hRule="atLeast"/>
        </w:trPr>
        <w:tc>
          <w:tcPr>
            <w:tcW w:w="168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消防水袋级灭火水枪</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组</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3000</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70" w:hRule="atLeast"/>
        </w:trPr>
        <w:tc>
          <w:tcPr>
            <w:tcW w:w="4171" w:type="pct"/>
            <w:gridSpan w:val="4"/>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合计</w:t>
            </w:r>
          </w:p>
        </w:tc>
        <w:tc>
          <w:tcPr>
            <w:tcW w:w="8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3.68</w:t>
            </w:r>
          </w:p>
        </w:tc>
      </w:tr>
    </w:tbl>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6.</w:t>
      </w:r>
      <w:r>
        <w:rPr>
          <w:rFonts w:hint="default" w:ascii="Times New Roman" w:hAnsi="Times New Roman" w:cs="Times New Roman"/>
          <w:b/>
          <w:bCs/>
          <w:color w:val="auto"/>
          <w:kern w:val="0"/>
          <w:sz w:val="24"/>
          <w:szCs w:val="24"/>
          <w:lang w:val="en-US" w:eastAsia="zh-CN" w:bidi="ar"/>
        </w:rPr>
        <w:t>4</w:t>
      </w:r>
      <w:r>
        <w:rPr>
          <w:rFonts w:hint="default" w:ascii="Times New Roman" w:hAnsi="Times New Roman" w:eastAsia="宋体" w:cs="Times New Roman"/>
          <w:b/>
          <w:bCs/>
          <w:color w:val="auto"/>
          <w:kern w:val="0"/>
          <w:sz w:val="24"/>
          <w:szCs w:val="24"/>
          <w:lang w:val="en-US" w:eastAsia="zh-CN" w:bidi="ar"/>
        </w:rPr>
        <w:t xml:space="preserve">.2.2 运营期保护措施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运营期：运营管理方应依据《中华人民共和国森林法》《森林防火条例》等制定森林防火预案，增加保护区内管线的巡线频次，发现隐患及时处理，防患于未然，防止林区火灾发生，杜绝破坏林区生态系统的事故发生。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6.</w:t>
      </w:r>
      <w:r>
        <w:rPr>
          <w:rFonts w:hint="default" w:ascii="Times New Roman" w:hAnsi="Times New Roman" w:cs="Times New Roman"/>
          <w:b/>
          <w:bCs/>
          <w:color w:val="auto"/>
          <w:kern w:val="0"/>
          <w:sz w:val="24"/>
          <w:szCs w:val="24"/>
          <w:lang w:val="en-US" w:eastAsia="zh-CN" w:bidi="ar"/>
        </w:rPr>
        <w:t>4</w:t>
      </w:r>
      <w:r>
        <w:rPr>
          <w:rFonts w:hint="default" w:ascii="Times New Roman" w:hAnsi="Times New Roman" w:eastAsia="宋体" w:cs="Times New Roman"/>
          <w:b/>
          <w:bCs/>
          <w:color w:val="auto"/>
          <w:kern w:val="0"/>
          <w:sz w:val="24"/>
          <w:szCs w:val="24"/>
          <w:lang w:val="en-US" w:eastAsia="zh-CN" w:bidi="ar"/>
        </w:rPr>
        <w:t xml:space="preserve">.2.3 施工裸露面植被恢复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由于区域气候条件相对较好，在该区域气候条件下植物生长迅速，在各种施工迹地上辅以人工手段，可以在较短的时间内完成施工迹地的恢复，尽快消除植被开挖给保护区带来的不利影响。输气管道施工临时占地的植被恢复有以下技术要点：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①由于植物根系可能损坏管道防腐层，输气管道中心线两侧各 5m 范围内不能种植深根性的乔木、灌木、竹子、芦苇等植物。管道中心线两侧各 5m 范围内应选择浅根性的草本植物进行恢复；施工作业带宽度为 14m，除去上述 10m 后两侧剩余 2m 范围内可采用乔、灌、草结合方式配置保护区的原生植物。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②应在施工前对当地具体植被类型做记录，施工完成后，按照原来的植被类型进行恢复。在清理施工作业带时，应将原来生长的乔木、乔木幼树幼苗、灌木和草皮移栽至附近适宜的地段重新栽植，尽量减少对植物的直接破坏，杜绝滥砍滥伐。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③应优先利用施工前移栽的原生植株——特别是乔木幼树幼苗，进行植被恢复。如移栽的原生植株不能满足植被恢复需求，则采购人工苗木开展恢复。苗木应选用保护区内的乡土植物，严禁购买保护区没有分布的种苗进行栽植。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④应按照拟使用林地恢复林业生产条件实施方案的编制，采取相应的工程措施对临时占用林地进行恢复。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⑤按照各地块的立地条件开展植被恢复，以保证植被恢复成功。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⑥乔木、灌木如采用人工植苗，植苗时间为春季。柏木恢复密度设计为 2000株/hm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，株行距设计为 2m×2.5m，采用穴状整地方式。灌木恢复密度设计为 5000株/hm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 xml:space="preserve">，株行距设计为 1m×2m，采用穴状整地方式，栽植穴按品字形交错排列。对于成活率低于 85%的地块，要及时组织补植，补植时间为当年的秋季或第二年的春季。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⑦草本植物如采用撒播方式进行种植，应及时洒水，确保成活率。对于草本植物成活率低于 85%的地块，要及时进行补种。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⑧植被恢复后营造的有林地地块要加强抚育管理，及时割除影响幼苗生长的杂草，对有牲畜出没的地块要增加保护围栏防止牲畜啃食和破坏。对于恢复为草地的地块，要开展合理施肥、洒水等措施，并建立围栏防止牲畜啃食和破坏。最终保证植被恢复成功。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6.</w:t>
      </w:r>
      <w:r>
        <w:rPr>
          <w:rFonts w:hint="default" w:ascii="Times New Roman" w:hAnsi="Times New Roman" w:cs="Times New Roman"/>
          <w:b/>
          <w:bCs/>
          <w:color w:val="auto"/>
          <w:kern w:val="0"/>
          <w:sz w:val="24"/>
          <w:szCs w:val="24"/>
          <w:lang w:val="en-US" w:eastAsia="zh-CN" w:bidi="ar"/>
        </w:rPr>
        <w:t>4</w:t>
      </w:r>
      <w:r>
        <w:rPr>
          <w:rFonts w:hint="default" w:ascii="Times New Roman" w:hAnsi="Times New Roman" w:eastAsia="宋体" w:cs="Times New Roman"/>
          <w:b/>
          <w:bCs/>
          <w:color w:val="auto"/>
          <w:kern w:val="0"/>
          <w:sz w:val="24"/>
          <w:szCs w:val="24"/>
          <w:lang w:val="en-US" w:eastAsia="zh-CN" w:bidi="ar"/>
        </w:rPr>
        <w:t xml:space="preserve">.3 野生动物保护措施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6.</w:t>
      </w:r>
      <w:r>
        <w:rPr>
          <w:rFonts w:hint="default" w:ascii="Times New Roman" w:hAnsi="Times New Roman" w:cs="Times New Roman"/>
          <w:b/>
          <w:bCs/>
          <w:color w:val="auto"/>
          <w:kern w:val="0"/>
          <w:sz w:val="24"/>
          <w:szCs w:val="24"/>
          <w:lang w:val="en-US" w:eastAsia="zh-CN" w:bidi="ar"/>
        </w:rPr>
        <w:t>4</w:t>
      </w:r>
      <w:r>
        <w:rPr>
          <w:rFonts w:hint="default" w:ascii="Times New Roman" w:hAnsi="Times New Roman" w:eastAsia="宋体" w:cs="Times New Roman"/>
          <w:b/>
          <w:bCs/>
          <w:color w:val="auto"/>
          <w:kern w:val="0"/>
          <w:sz w:val="24"/>
          <w:szCs w:val="24"/>
          <w:lang w:val="en-US" w:eastAsia="zh-CN" w:bidi="ar"/>
        </w:rPr>
        <w:t xml:space="preserve">.3.1 施工期保护措施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（一）采取先进的工艺和技术，减少震动对野生动物带来的干扰。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（二）在施工期和运营期，要禁止任何人员、采取任何方式进入保护区内进行捕捉和猎杀动物等非法行为。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（三）在施工和运营期利用宣传标牌等宣教手段，开展宣传教育工作，并通过积极的日常巡护管理工作加强对野生动物的保护管理。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工程评价区分布的有些两栖类、爬行类、鸟类、兽类和鱼类是偷猎的对象。两栖类中的黑斑侧褶蛙、泽陆蛙等，爬行类中的中华鳖、翠青蛇、乌梢蛇、黑眉锦蛇等，鸟类的雉鸡、绿头鸭、绿翅鸭等，兽类的猪獾、花面狸、豹猫、草兔等都是比较危险被捕捉的对象。减免工程对陆生脊椎动物影响的措施为：当地政府和野生动物保护主管部门采取多种方式，打击偷猎野生动物的违法行为。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6.</w:t>
      </w:r>
      <w:r>
        <w:rPr>
          <w:rFonts w:hint="default" w:ascii="Times New Roman" w:hAnsi="Times New Roman" w:cs="Times New Roman"/>
          <w:b/>
          <w:bCs/>
          <w:color w:val="auto"/>
          <w:kern w:val="0"/>
          <w:sz w:val="24"/>
          <w:szCs w:val="24"/>
          <w:lang w:val="en-US" w:eastAsia="zh-CN" w:bidi="ar"/>
        </w:rPr>
        <w:t>4</w:t>
      </w:r>
      <w:r>
        <w:rPr>
          <w:rFonts w:hint="default" w:ascii="Times New Roman" w:hAnsi="Times New Roman" w:eastAsia="宋体" w:cs="Times New Roman"/>
          <w:b/>
          <w:bCs/>
          <w:color w:val="auto"/>
          <w:kern w:val="0"/>
          <w:sz w:val="24"/>
          <w:szCs w:val="24"/>
          <w:lang w:val="en-US" w:eastAsia="zh-CN" w:bidi="ar"/>
        </w:rPr>
        <w:t xml:space="preserve">.3.1.1 两栖爬行类动物保护措施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加强对保护区范围内现有植被的保护，严格限定施工范围，避免造成大的水土流失。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严防燃油泄漏及油污对土壤环境造成污染；对工程废弃物进行快速处理，及时运出保护区，防止遗留物对环境造成污染，防止对两栖爬行动物本身及栖息环境的破坏和污染。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早晚施工注意避免对两栖动物造成碾压危害，冬春季节施工发现冬眠的蛇及中华鳖、蛙等两栖动物，应禁止捕捉，并报请保护区安全移至远离工区的相似生境中。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6.</w:t>
      </w:r>
      <w:r>
        <w:rPr>
          <w:rFonts w:hint="default" w:ascii="Times New Roman" w:hAnsi="Times New Roman" w:cs="Times New Roman"/>
          <w:b/>
          <w:bCs/>
          <w:color w:val="auto"/>
          <w:kern w:val="0"/>
          <w:sz w:val="24"/>
          <w:szCs w:val="24"/>
          <w:lang w:val="en-US" w:eastAsia="zh-CN" w:bidi="ar"/>
        </w:rPr>
        <w:t>4</w:t>
      </w:r>
      <w:r>
        <w:rPr>
          <w:rFonts w:hint="default" w:ascii="Times New Roman" w:hAnsi="Times New Roman" w:eastAsia="宋体" w:cs="Times New Roman"/>
          <w:b/>
          <w:bCs/>
          <w:color w:val="auto"/>
          <w:kern w:val="0"/>
          <w:sz w:val="24"/>
          <w:szCs w:val="24"/>
          <w:lang w:val="en-US" w:eastAsia="zh-CN" w:bidi="ar"/>
        </w:rPr>
        <w:t xml:space="preserve">.3.1.2 鸟类保护措施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①增强施工人员的环境保护意识，加强对国家重点珍稀保护动物的保护，严禁猎捕保护区的各种鸟类；禁止施工人员对雉鸡、灰胸竹鸡等雉类和红嘴相思鸟、棕头鸦雀、珠颈斑鸠、长尾山椒鸟、黄臀鹎、画眉等观赏性和鸣声优美鸟类的捕捉。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②减少施工对鸟类栖息地的破坏，极力保留临时占地内的乔木、灌木草本，条件允许时边施工边进行植被快速恢复。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③应加强水土保持，促进临时占地区植物群落的恢复，为鸟类提供良好的栖息、活动环境，使鸟类的种群数量不发生大的波动。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6.4.3.1.3 兽类保护措施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输气管线铺设工程沿线以小型兽类的栖息地为主，针对这些小型兽类，应做到如下保护措施：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①严格控制施工范围，保护好小型兽类的栖息地；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②对工程废物和施工人员的生活垃圾进行快速处理，尽量避免生活垃圾为鼠类等疫源性兽类提供生活环境，避免疫源性兽类种群爆发。对于大、中型兽类，应做到如下保护措施：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①在保护区范围内的施工活动要集中时间快速完成，避开植被较好、兽类物种较丰富的区域等兽类繁殖的季节。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②禁止偷猎、下夹、设置陷阱的捕杀行为，违者严惩。特别注意对猪獾、鼬獾、花面狸等经济食用价值较大的兽类的保护。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③施工中尽量减少噪声干扰。通过减少减少机械噪声和禁止车辆鸣笛等措施避免对野生动物产生惊扰。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④禁止夜间施工，为在该区域夜行性的动物保留较安宁的活动环境。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6.3.3.1.4 鱼类保护措施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在管线建设期间，沿线的流动人员数量会不断增加，车辆亦增多，偷偷捕鱼的人也可能增加。因此，加强对施工人员的宣传教育，并采取有效的管理措施是十分必要的，不准在西河及堰塘网鱼，更不准炸鱼、毒鱼和电捕鱼，最大限度减少对鱼类资源的损害。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由于输气管道需穿越东河保护区。施工单位要严防施工废水、废渣等排入河流，特别是粉尘及油污等对河流水质危害严重的污染源，要严加管理。在施工前和建设期内应对有关工作人员及当地群众进行宣传教育，张贴告示，发送宣传材料，向广大群众宣传鱼类保护的意义和重要性，让更多的人了解这项工作的重要性和与自身利益的关系。同时可以发动周边的居民参与保护工作，把他们组织起来共同管理，严禁外来人的捕鱼活动，这样有利于保护工作得到落实。 </w:t>
      </w:r>
    </w:p>
    <w:p>
      <w:pPr>
        <w:keepNext w:val="0"/>
        <w:keepLines w:val="0"/>
        <w:widowControl/>
        <w:suppressLineNumbers w:val="0"/>
        <w:jc w:val="left"/>
        <w:rPr>
          <w:rFonts w:hint="default" w:ascii="Times New Roman" w:hAnsi="Times New Roman" w:cs="Times New Roman"/>
          <w:color w:val="auto"/>
          <w:sz w:val="24"/>
          <w:szCs w:val="24"/>
        </w:rPr>
      </w:pP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6.3.4 野生动物保护措施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1.依据现行法律法规，制订和完善保护区生态保护管理制度，用制度保护、管理保护区生态系统。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2.建立生态监测系统，监测保护区森林、灌丛、湿地等生态系统植物群落组成、覆盖率、生物量、净第一性生产力的变化情况，以便采取有效的措施切实保护生态系统。定期监测区内生态环境质量及变化动态，并长期进行气象、水文监测，通过长期动态监测，为生态系统保护工作做好基础研究工作。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3.各责任方要持续监控输气管道运行，评估其对生态系统的影响，掌握输气管道运行对物种多样性和生态系统的影响程度，指导保护工作的正常开展。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4.加强生态风险管理，制定生态风险应急预案，并准备必要的生态风险防范物资，尽量避免或减轻生态风险因素对保护区生态系统的危害。 </w:t>
      </w:r>
    </w:p>
    <w:p>
      <w:pPr>
        <w:keepNext w:val="0"/>
        <w:keepLines w:val="0"/>
        <w:widowControl/>
        <w:suppressLineNumbers w:val="0"/>
        <w:spacing w:line="360" w:lineRule="auto"/>
        <w:ind w:left="0" w:leftChars="0" w:firstLine="0" w:firstLineChars="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eastAsia="宋体" w:cs="Times New Roman"/>
          <w:b/>
          <w:bCs/>
          <w:color w:val="auto"/>
          <w:kern w:val="0"/>
          <w:sz w:val="28"/>
          <w:szCs w:val="28"/>
          <w:lang w:val="en-US" w:eastAsia="zh-CN" w:bidi="ar"/>
        </w:rPr>
        <w:t>6.5 环保投资估算</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项目总投资33811万元，环保投资1280万元，占总投资的3.8%，环保投资主要用于植被恢复、环境监理、废水处理等措施，项目环保投资情况见下表。</w:t>
      </w:r>
    </w:p>
    <w:p>
      <w:pPr>
        <w:keepNext w:val="0"/>
        <w:keepLines w:val="0"/>
        <w:widowControl/>
        <w:suppressLineNumbers w:val="0"/>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vertAlign w:val="baseline"/>
          <w:lang w:val="en-US" w:eastAsia="zh-CN" w:bidi="ar"/>
        </w:rPr>
        <w:t>表 6.5-1 本项目环保投资估算一览表</w:t>
      </w:r>
    </w:p>
    <w:tbl>
      <w:tblPr>
        <w:tblStyle w:val="24"/>
        <w:tblW w:w="4996"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Layout w:type="autofit"/>
        <w:tblCellMar>
          <w:top w:w="0" w:type="dxa"/>
          <w:left w:w="108" w:type="dxa"/>
          <w:bottom w:w="0" w:type="dxa"/>
          <w:right w:w="108" w:type="dxa"/>
        </w:tblCellMar>
      </w:tblPr>
      <w:tblGrid>
        <w:gridCol w:w="977"/>
        <w:gridCol w:w="985"/>
        <w:gridCol w:w="1443"/>
        <w:gridCol w:w="3792"/>
        <w:gridCol w:w="985"/>
        <w:gridCol w:w="98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540" w:hRule="atLeast"/>
        </w:trPr>
        <w:tc>
          <w:tcPr>
            <w:tcW w:w="53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阶段</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环境保护要素</w:t>
            </w:r>
          </w:p>
        </w:tc>
        <w:tc>
          <w:tcPr>
            <w:tcW w:w="2854"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环境保护措施</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投资（万元）</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1350" w:hRule="atLeast"/>
        </w:trPr>
        <w:tc>
          <w:tcPr>
            <w:tcW w:w="533"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施工期</w:t>
            </w:r>
          </w:p>
        </w:tc>
        <w:tc>
          <w:tcPr>
            <w:tcW w:w="53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水土流失防治</w:t>
            </w: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水土保持工程措施</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施工期管线区域、堆管场等临时占地的剥离表土、土地整治、复耕等，以及用于弃渣场土石方开挖、挡墙建设、安装排水沟等建设。</w:t>
            </w:r>
          </w:p>
        </w:tc>
        <w:tc>
          <w:tcPr>
            <w:tcW w:w="53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53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计入水土保持投资</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81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水土保持植物措施</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管道沿线、站场、渣场等区域植被恢复、绿化等植物措施</w:t>
            </w: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54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水土保持临时措施</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设置土质排水沟、临时沉砂凼、土袋挡土墙等措施</w:t>
            </w: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189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大气环境</w:t>
            </w: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施工扬尘防护措施</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施工现场道路、作业区地面硬化；施工现场设置围挡，围挡上方设置自动喷雾；洒水抑尘。选用环保设备；尽量采用优质、污染小的燃油；加强日常维修和保养；合理规划运输路线 </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200</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135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道路扬尘</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施工道路区非雨日洒水；出口设置车辆清洗槽；物料运输时适当加湿或盖上蓬布，避免漏撒；定期清洁路面，竖立减速标牌</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81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地表水环境</w:t>
            </w: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试压废水沉淀池</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修建试压废水沉淀池，沉淀后回用或用于农灌，严禁排入东河</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162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穿越施工废水处理</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在东河、青盐沟等主要穿越点周围设置施工废水沉淀池，并建设导流沟等设施，将区域穿越产生的施工废水沉淀后回用或排入附近沟渠或灌渠。</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54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生活污水</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依托周边农户或集镇现有设施</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81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声环境</w:t>
            </w: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机械噪声</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施工场地、涉及敏感点路段设置临时移动隔声屏；施工人员防噪用具</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135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施工噪声</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合理安排施工作业时间，合理布局施工现场，禁止夜间施工；在施工沿线居民集中点设挡声板；定向钻穿越点附近设隔声屏障</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40</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7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固废</w:t>
            </w: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建筑垃圾</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建筑垃圾清运</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7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生活垃圾</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施工区垃圾筒、垃圾箱</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54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弃土</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弃土回填，临时弃土场迹地恢复</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PrEx>
        <w:trPr>
          <w:trHeight w:val="105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生态环境</w:t>
            </w: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陆生植物保护</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工作面完工后立即因地制宜进行植被恢复；注意对堆场进行保护，尽量采用原生植被恢复</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54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陆生动物保护</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加强管理，对施工人员进行培训教育，设立警示牌</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1875"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水生生物保护</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对浮游植物、浮游动物、底栖动物、水生维管束物和鱼类资源的种类、分布密度和生物量进行全面调查，施工过程尽量减缓对水生生物的影响，施工结束后采取增殖放流的方式恢复水生生态</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105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水土保持</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按照“因地制宜、因害设防、突出重点、注重效益”的原则采取工程措施、植物措施和临时措施进行水土保持工作</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200</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78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临时占地恢复</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施工场地、堆场、施工区四周及施工便道一侧设置临时排水沟，临时占地绿化或复耕</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108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行洪和河势稳定</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加强管理，出渣、物资堆放必须符合防洪要求，严禁施工材料和弃渣堆积或弃倒于河中</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计入行洪论证投资</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70" w:hRule="atLeast"/>
        </w:trPr>
        <w:tc>
          <w:tcPr>
            <w:tcW w:w="533" w:type="pct"/>
            <w:vMerge w:val="restar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lang w:eastAsia="zh-CN"/>
              </w:rPr>
            </w:pPr>
            <w:r>
              <w:rPr>
                <w:rFonts w:hint="default" w:ascii="Times New Roman" w:hAnsi="Times New Roman" w:eastAsia="宋体" w:cs="Times New Roman"/>
                <w:i w:val="0"/>
                <w:iCs w:val="0"/>
                <w:color w:val="auto"/>
                <w:sz w:val="21"/>
                <w:szCs w:val="21"/>
                <w:u w:val="none"/>
                <w:lang w:eastAsia="zh-CN"/>
              </w:rPr>
              <w:t>运行期</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大气环境</w:t>
            </w:r>
          </w:p>
        </w:tc>
        <w:tc>
          <w:tcPr>
            <w:tcW w:w="2854"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在新建场站和阀室设置 20m 高放空立管</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135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水环境</w:t>
            </w: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生活污水</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陵江清管站污水经处理后用于绿化或农肥；元坝首站依托元坝原有污水处理设施；元坝作业区生活污水进入市政管网</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7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声环境</w:t>
            </w:r>
          </w:p>
        </w:tc>
        <w:tc>
          <w:tcPr>
            <w:tcW w:w="2854"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选用低噪声设备，设置消声器，使设备与地面进行软连接</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7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固废</w:t>
            </w:r>
          </w:p>
        </w:tc>
        <w:tc>
          <w:tcPr>
            <w:tcW w:w="2854"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设置生活垃圾收集设施，将生活垃圾收集后交由市政环卫处理</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7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地下水</w:t>
            </w:r>
          </w:p>
        </w:tc>
        <w:tc>
          <w:tcPr>
            <w:tcW w:w="2854"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分区防渗</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81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环境风险</w:t>
            </w: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管道施工防护措施</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做好管道防护加固措施、截断阀室建设、防腐工程、阴极保护等措施</w:t>
            </w:r>
          </w:p>
        </w:tc>
        <w:tc>
          <w:tcPr>
            <w:tcW w:w="53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53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计入主体工程、消防措施</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135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消防措施</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按《建筑灭火器的配置设计规范》，在工艺装置区配置消防栓、各种手提式、推车式的 CO2、干粉、泡沫等灭火器</w:t>
            </w: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7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探测仪器</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安装可燃气体探测仪</w:t>
            </w: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81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环境应急预案</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制订环境风险应急预案，建立环境风险事故报警系统体系，设置防火标示牌等</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120</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4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环境管理</w:t>
            </w: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环境监理、监测</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开展施工期环境监理、监测工作</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200</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81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环境宣传、保护</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开展环保知识培训；宣传环境保护法律、法规；建设并设施环保“三同时”制度</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70" w:hRule="atLeast"/>
        </w:trPr>
        <w:tc>
          <w:tcPr>
            <w:tcW w:w="533"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3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78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竣工验收</w:t>
            </w:r>
          </w:p>
        </w:tc>
        <w:tc>
          <w:tcPr>
            <w:tcW w:w="2066"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开展环保竣工验收工作</w:t>
            </w:r>
          </w:p>
        </w:tc>
        <w:tc>
          <w:tcPr>
            <w:tcW w:w="53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53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70" w:hRule="atLeast"/>
        </w:trPr>
        <w:tc>
          <w:tcPr>
            <w:tcW w:w="3925" w:type="pct"/>
            <w:gridSpan w:val="4"/>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合计</w:t>
            </w:r>
          </w:p>
        </w:tc>
        <w:tc>
          <w:tcPr>
            <w:tcW w:w="1074"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1280</w:t>
            </w:r>
          </w:p>
        </w:tc>
      </w:tr>
    </w:tbl>
    <w:p>
      <w:pP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br w:type="page"/>
      </w:r>
    </w:p>
    <w:p>
      <w:pPr>
        <w:pStyle w:val="4"/>
        <w:numPr>
          <w:ilvl w:val="0"/>
          <w:numId w:val="9"/>
        </w:numPr>
        <w:bidi w:val="0"/>
        <w:ind w:leftChars="0"/>
        <w:jc w:val="center"/>
        <w:rPr>
          <w:rFonts w:hint="default" w:ascii="Times New Roman" w:hAnsi="Times New Roman" w:eastAsia="宋体" w:cs="Times New Roman"/>
          <w:color w:val="auto"/>
          <w:lang w:val="en-US" w:eastAsia="zh-CN"/>
        </w:rPr>
      </w:pPr>
      <w:bookmarkStart w:id="45" w:name="_Toc25879"/>
      <w:r>
        <w:rPr>
          <w:rFonts w:hint="default" w:ascii="Times New Roman" w:hAnsi="Times New Roman" w:eastAsia="宋体" w:cs="Times New Roman"/>
          <w:color w:val="auto"/>
          <w:lang w:val="en-US" w:eastAsia="zh-CN"/>
        </w:rPr>
        <w:t>环境影响经济损益分析</w:t>
      </w:r>
      <w:bookmarkEnd w:id="45"/>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本项目的建设对管道沿线的环境和经济发展产生一定影响。在进行工程的效益分析时，不仅要考虑工程对自然环境造成的影响，同时，也要从提高社会经济效益为出发点，分析对社会和经济的影响。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cs="Times New Roman"/>
          <w:b/>
          <w:bCs/>
          <w:color w:val="auto"/>
          <w:kern w:val="0"/>
          <w:sz w:val="28"/>
          <w:szCs w:val="28"/>
          <w:lang w:val="en-US" w:eastAsia="zh-CN" w:bidi="ar"/>
        </w:rPr>
        <w:t>7</w:t>
      </w:r>
      <w:r>
        <w:rPr>
          <w:rFonts w:hint="default" w:ascii="Times New Roman" w:hAnsi="Times New Roman" w:eastAsia="宋体" w:cs="Times New Roman"/>
          <w:b/>
          <w:bCs/>
          <w:color w:val="auto"/>
          <w:kern w:val="0"/>
          <w:sz w:val="28"/>
          <w:szCs w:val="28"/>
          <w:lang w:val="en-US" w:eastAsia="zh-CN" w:bidi="ar"/>
        </w:rPr>
        <w:t>.1 经济损益分析</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本章选择工程、环境、生态资源和社会经济等有代表性的指标，从经济效益、社会效益和环境效益等三方面，进行环境经济损益分析。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本次投资的大力投入，从目前对市场销售量的预测来看，盈利能力、偿还能力和抗风险能力不是很理想。从以上财务分析的结果可以看出，本项目内部收益率 8.05%低于基准收益率 9%，净现值（i=9）小于零。本项目从经济效益角度上来看，可行性较差，但社会效益显著。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的建成后，可以加强成都、德阳、绵阳、广元等周边区域天然气供应，还具有一定的间接经济效益，例如使用天然气发电与燃煤电厂比可大大节约投资投入，减少运营成本，主要为煤炭的运费等，同时还可以缓解铁路与公路运输压力，提高居民生活质量等。</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cs="Times New Roman"/>
          <w:b/>
          <w:bCs/>
          <w:color w:val="auto"/>
          <w:kern w:val="0"/>
          <w:sz w:val="28"/>
          <w:szCs w:val="28"/>
          <w:lang w:val="en-US" w:eastAsia="zh-CN" w:bidi="ar"/>
        </w:rPr>
        <w:t>7</w:t>
      </w:r>
      <w:r>
        <w:rPr>
          <w:rFonts w:hint="default" w:ascii="Times New Roman" w:hAnsi="Times New Roman" w:eastAsia="宋体" w:cs="Times New Roman"/>
          <w:b/>
          <w:bCs/>
          <w:color w:val="auto"/>
          <w:kern w:val="0"/>
          <w:sz w:val="28"/>
          <w:szCs w:val="28"/>
          <w:lang w:val="en-US" w:eastAsia="zh-CN" w:bidi="ar"/>
        </w:rPr>
        <w:t>.</w:t>
      </w:r>
      <w:r>
        <w:rPr>
          <w:rFonts w:hint="default" w:ascii="Times New Roman" w:hAnsi="Times New Roman" w:cs="Times New Roman"/>
          <w:b/>
          <w:bCs/>
          <w:color w:val="auto"/>
          <w:kern w:val="0"/>
          <w:sz w:val="28"/>
          <w:szCs w:val="28"/>
          <w:lang w:val="en-US" w:eastAsia="zh-CN" w:bidi="ar"/>
        </w:rPr>
        <w:t>2</w:t>
      </w:r>
      <w:r>
        <w:rPr>
          <w:rFonts w:hint="default" w:ascii="Times New Roman" w:hAnsi="Times New Roman" w:eastAsia="宋体" w:cs="Times New Roman"/>
          <w:b/>
          <w:bCs/>
          <w:color w:val="auto"/>
          <w:kern w:val="0"/>
          <w:sz w:val="28"/>
          <w:szCs w:val="28"/>
          <w:lang w:val="en-US" w:eastAsia="zh-CN" w:bidi="ar"/>
        </w:rPr>
        <w:t xml:space="preserve"> </w:t>
      </w:r>
      <w:r>
        <w:rPr>
          <w:rFonts w:hint="default" w:ascii="Times New Roman" w:hAnsi="Times New Roman" w:cs="Times New Roman"/>
          <w:b/>
          <w:bCs/>
          <w:color w:val="auto"/>
          <w:kern w:val="0"/>
          <w:sz w:val="28"/>
          <w:szCs w:val="28"/>
          <w:lang w:val="en-US" w:eastAsia="zh-CN" w:bidi="ar"/>
        </w:rPr>
        <w:t>社会效益</w:t>
      </w:r>
      <w:r>
        <w:rPr>
          <w:rFonts w:hint="default" w:ascii="Times New Roman" w:hAnsi="Times New Roman" w:eastAsia="宋体" w:cs="Times New Roman"/>
          <w:b/>
          <w:bCs/>
          <w:color w:val="auto"/>
          <w:kern w:val="0"/>
          <w:sz w:val="28"/>
          <w:szCs w:val="28"/>
          <w:lang w:val="en-US" w:eastAsia="zh-CN" w:bidi="ar"/>
        </w:rPr>
        <w:t>分析</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kern w:val="0"/>
          <w:sz w:val="24"/>
          <w:szCs w:val="24"/>
          <w:lang w:val="en-US" w:eastAsia="zh-CN" w:bidi="ar"/>
        </w:rPr>
        <w:t>工</w:t>
      </w:r>
      <w:r>
        <w:rPr>
          <w:rFonts w:hint="default" w:ascii="Times New Roman" w:hAnsi="Times New Roman" w:eastAsia="宋体" w:cs="Times New Roman"/>
          <w:color w:val="auto"/>
          <w:kern w:val="0"/>
          <w:sz w:val="24"/>
          <w:szCs w:val="24"/>
          <w:lang w:val="en-US" w:eastAsia="zh-CN" w:bidi="ar"/>
        </w:rPr>
        <w:t xml:space="preserve">程的建设有利于拉动国民经济的增长，扩大内需。通过实施本工程，可以扩大内需，增加就业机会，促进经济发展。还有利于提高沿途地区人民的生活质量，改善生活环境，注入新的能源。本工程建设需要一定数量的人力，除施工单位外，还需在当地招募民工，因而可给当地居民和农民增加收入。另外，管道工程建设需要大批钢材、建材及配套设备，可带动机械、电力、化工、冶金、建材等相关工业的发展。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该工程的建设，是促进成都、德阳、绵阳、广元等周边区域清洁能源使用的重大举措，对于缓解成都周边区域天然气供需矛盾，优化能源结构，建设环境友好型社会，具有重要意义，项目的建设符合国家产业政策，将使国内的能源配置更趋于合理，使得全国经济的效益在总体上大大提高，体现出中国能源供需的协调发展战略。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因此，本项目是造福沿线人民的幸福工程，在实施西部大开发战略、加快西部地区经济发展、拉动国民经济增长、调整我国能源结构和充分利用天然气资源等方面不但有重要的经济意义，而且有深远的政治意义。项目具有良好的社会效益。 </w:t>
      </w:r>
    </w:p>
    <w:p>
      <w:pPr>
        <w:keepNext w:val="0"/>
        <w:keepLines w:val="0"/>
        <w:widowControl/>
        <w:suppressLineNumbers w:val="0"/>
        <w:ind w:left="0" w:leftChars="0" w:firstLine="0" w:firstLineChars="0"/>
        <w:jc w:val="left"/>
        <w:rPr>
          <w:rFonts w:hint="default" w:ascii="Times New Roman" w:hAnsi="Times New Roman" w:cs="Times New Roman"/>
          <w:b/>
          <w:bCs/>
          <w:color w:val="auto"/>
          <w:kern w:val="0"/>
          <w:sz w:val="28"/>
          <w:szCs w:val="28"/>
          <w:lang w:val="en-US" w:eastAsia="zh-CN" w:bidi="ar"/>
        </w:rPr>
      </w:pPr>
      <w:r>
        <w:rPr>
          <w:rFonts w:hint="default" w:ascii="Times New Roman" w:hAnsi="Times New Roman" w:cs="Times New Roman"/>
          <w:b/>
          <w:bCs/>
          <w:color w:val="auto"/>
          <w:kern w:val="0"/>
          <w:sz w:val="28"/>
          <w:szCs w:val="28"/>
          <w:lang w:val="en-US" w:eastAsia="zh-CN" w:bidi="ar"/>
        </w:rPr>
        <w:t>7.3 环境效益分析</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（1）天然气利用可减少环境空气污染物的排放量，改善环境空气质量。根据相关资料，以天然气置换煤作燃料，每利用1×108m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天然气可减少SO</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排放量约1210吨，减少NO</w:t>
      </w:r>
      <w:r>
        <w:rPr>
          <w:rFonts w:hint="default" w:ascii="Times New Roman" w:hAnsi="Times New Roman" w:eastAsia="宋体" w:cs="Times New Roman"/>
          <w:color w:val="auto"/>
          <w:kern w:val="0"/>
          <w:sz w:val="24"/>
          <w:szCs w:val="24"/>
          <w:vertAlign w:val="subscript"/>
          <w:lang w:val="en-US" w:eastAsia="zh-CN" w:bidi="ar"/>
        </w:rPr>
        <w:t>x</w:t>
      </w:r>
      <w:r>
        <w:rPr>
          <w:rFonts w:hint="default" w:ascii="Times New Roman" w:hAnsi="Times New Roman" w:eastAsia="宋体" w:cs="Times New Roman"/>
          <w:color w:val="auto"/>
          <w:kern w:val="0"/>
          <w:sz w:val="24"/>
          <w:szCs w:val="24"/>
          <w:lang w:val="en-US" w:eastAsia="zh-CN" w:bidi="ar"/>
        </w:rPr>
        <w:t>排放量约1650吨，减少烟尘排放量约4070吨。本工程输气量为</w:t>
      </w:r>
      <w:r>
        <w:rPr>
          <w:rFonts w:hint="default" w:ascii="Times New Roman" w:hAnsi="Times New Roman" w:cs="Times New Roman"/>
          <w:color w:val="auto"/>
          <w:kern w:val="0"/>
          <w:sz w:val="24"/>
          <w:szCs w:val="24"/>
          <w:lang w:val="en-US" w:eastAsia="zh-CN" w:bidi="ar"/>
        </w:rPr>
        <w:t>30×10</w:t>
      </w:r>
      <w:r>
        <w:rPr>
          <w:rFonts w:hint="default" w:ascii="Times New Roman" w:hAnsi="Times New Roman" w:eastAsia="宋体" w:cs="Times New Roman"/>
          <w:color w:val="auto"/>
          <w:kern w:val="0"/>
          <w:sz w:val="24"/>
          <w:szCs w:val="24"/>
          <w:vertAlign w:val="superscript"/>
          <w:lang w:val="en-US" w:eastAsia="zh-CN" w:bidi="ar"/>
        </w:rPr>
        <w:t>8</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 /a，以此推算，可减少SO</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排放量约60500t/a，减少NO</w:t>
      </w:r>
      <w:r>
        <w:rPr>
          <w:rFonts w:hint="default" w:ascii="Times New Roman" w:hAnsi="Times New Roman" w:eastAsia="宋体" w:cs="Times New Roman"/>
          <w:color w:val="auto"/>
          <w:kern w:val="0"/>
          <w:sz w:val="24"/>
          <w:szCs w:val="24"/>
          <w:vertAlign w:val="subscript"/>
          <w:lang w:val="en-US" w:eastAsia="zh-CN" w:bidi="ar"/>
        </w:rPr>
        <w:t>x</w:t>
      </w:r>
      <w:r>
        <w:rPr>
          <w:rFonts w:hint="default" w:ascii="Times New Roman" w:hAnsi="Times New Roman" w:eastAsia="宋体" w:cs="Times New Roman"/>
          <w:color w:val="auto"/>
          <w:kern w:val="0"/>
          <w:sz w:val="24"/>
          <w:szCs w:val="24"/>
          <w:lang w:val="en-US" w:eastAsia="zh-CN" w:bidi="ar"/>
        </w:rPr>
        <w:t xml:space="preserve">排放量约82500t/a，减少烟尘排放量约203500t/a。可见，工程建成对于加速利用天然气资源，减少污染物排放，具有巨大的环境效益。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（2）天然气的利用可以节省污染物处理费用。以 SO</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 xml:space="preserve"> 处理为例，据统计，处理 SO</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 xml:space="preserve"> 所需费用为 1.0 元/kg，用气量达到</w:t>
      </w:r>
      <w:r>
        <w:rPr>
          <w:rFonts w:hint="default" w:ascii="Times New Roman" w:hAnsi="Times New Roman" w:cs="Times New Roman"/>
          <w:color w:val="auto"/>
          <w:kern w:val="0"/>
          <w:sz w:val="24"/>
          <w:szCs w:val="24"/>
          <w:lang w:val="en-US" w:eastAsia="zh-CN" w:bidi="ar"/>
        </w:rPr>
        <w:t>30×10</w:t>
      </w:r>
      <w:r>
        <w:rPr>
          <w:rFonts w:hint="default" w:ascii="Times New Roman" w:hAnsi="Times New Roman" w:eastAsia="宋体" w:cs="Times New Roman"/>
          <w:color w:val="auto"/>
          <w:kern w:val="0"/>
          <w:sz w:val="24"/>
          <w:szCs w:val="24"/>
          <w:vertAlign w:val="superscript"/>
          <w:lang w:val="en-US" w:eastAsia="zh-CN" w:bidi="ar"/>
        </w:rPr>
        <w:t>8</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 /a时，每年可节约SO</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 xml:space="preserve">治理费约为6050万元。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（3）天然气的利用可以降低由环境空气污染引起的疾病，进而减少治疗疾病所花的医疗费及误工费。污染区（按 SO</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 xml:space="preserve"> 超过国家二级标准考虑）比清洁区慢性气管炎发病率高 9.4‰，比清洁区肺心病发病率高 11‰。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4）减少由于运输带来的环境污染。管道输送是一种安全、稳定、高效的运送方式。由于天然气采用管道密闭输送，运输中不会对环境造成污染。而利用煤炭或者石油，需要车船运输，运输中会产生一定量的大气污染物，如汽车尾气、二次扬尘。因此，利用天然气避免了运输对环境的污染问题，保护了生态环境，具有较好的环境效益。 </w:t>
      </w:r>
    </w:p>
    <w:p>
      <w:pPr>
        <w:keepNext w:val="0"/>
        <w:keepLines w:val="0"/>
        <w:widowControl/>
        <w:suppressLineNumbers w:val="0"/>
        <w:ind w:left="0" w:leftChars="0" w:firstLine="0" w:firstLineChars="0"/>
        <w:jc w:val="left"/>
        <w:rPr>
          <w:rFonts w:hint="default" w:ascii="Times New Roman" w:hAnsi="Times New Roman" w:cs="Times New Roman"/>
          <w:b/>
          <w:bCs/>
          <w:color w:val="auto"/>
          <w:kern w:val="0"/>
          <w:sz w:val="28"/>
          <w:szCs w:val="28"/>
          <w:lang w:val="en-US" w:eastAsia="zh-CN" w:bidi="ar"/>
        </w:rPr>
      </w:pPr>
      <w:r>
        <w:rPr>
          <w:rFonts w:hint="default" w:ascii="Times New Roman" w:hAnsi="Times New Roman" w:cs="Times New Roman"/>
          <w:b/>
          <w:bCs/>
          <w:color w:val="auto"/>
          <w:kern w:val="0"/>
          <w:sz w:val="28"/>
          <w:szCs w:val="28"/>
          <w:lang w:val="en-US" w:eastAsia="zh-CN" w:bidi="ar"/>
        </w:rPr>
        <w:t>7.4 结论</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拟建项目对成都、德阳、绵阳、广元等周边地区的社会经济发展将产生一定的推动作用。项目建成后保障了管线沿线对清洁、高效优质的天然气能源的需求，为当地的经济发展提供物质保证。从环保措施所带来的各方面效益看，大大减轻了项目所带来的不良环境影响，既带动了经济的发展，也保护了环境，项目建设将产生一定的社会效益、经济效益和环境效益。</w:t>
      </w:r>
    </w:p>
    <w:p>
      <w:pPr>
        <w:pStyle w:val="2"/>
        <w:ind w:left="0" w:leftChars="0" w:firstLine="0" w:firstLineChars="0"/>
        <w:jc w:val="both"/>
        <w:rPr>
          <w:rFonts w:hint="default" w:ascii="Times New Roman" w:hAnsi="Times New Roman" w:cs="Times New Roman"/>
          <w:color w:val="auto"/>
          <w:lang w:eastAsia="zh-CN"/>
        </w:rPr>
      </w:pPr>
    </w:p>
    <w:p>
      <w:pPr>
        <w:pStyle w:val="23"/>
        <w:rPr>
          <w:rFonts w:hint="default" w:ascii="Times New Roman" w:hAnsi="Times New Roman" w:eastAsia="宋体" w:cs="Times New Roman"/>
          <w:color w:val="auto"/>
          <w:lang w:val="en-US" w:eastAsia="zh-CN"/>
        </w:rPr>
        <w:sectPr>
          <w:pgSz w:w="11906" w:h="16838"/>
          <w:pgMar w:top="1814" w:right="1474" w:bottom="1474" w:left="1474" w:header="851" w:footer="992" w:gutter="0"/>
          <w:pgBorders w:offsetFrom="page">
            <w:top w:val="none" w:sz="0" w:space="0"/>
            <w:left w:val="none" w:sz="0" w:space="0"/>
            <w:bottom w:val="none" w:sz="0" w:space="0"/>
            <w:right w:val="none" w:sz="0" w:space="0"/>
          </w:pgBorders>
          <w:pgNumType w:fmt="decimal"/>
          <w:cols w:space="0" w:num="1"/>
          <w:rtlGutter w:val="0"/>
          <w:docGrid w:type="lines" w:linePitch="330" w:charSpace="0"/>
        </w:sectPr>
      </w:pPr>
    </w:p>
    <w:p>
      <w:pPr>
        <w:pStyle w:val="4"/>
        <w:numPr>
          <w:ilvl w:val="0"/>
          <w:numId w:val="0"/>
        </w:numPr>
        <w:bidi w:val="0"/>
        <w:ind w:leftChars="0"/>
        <w:jc w:val="center"/>
        <w:rPr>
          <w:rFonts w:hint="default" w:ascii="Times New Roman" w:hAnsi="Times New Roman" w:eastAsia="宋体" w:cs="Times New Roman"/>
          <w:color w:val="auto"/>
          <w:lang w:val="en-US" w:eastAsia="zh-CN"/>
        </w:rPr>
      </w:pPr>
      <w:bookmarkStart w:id="46" w:name="_Toc1021"/>
      <w:r>
        <w:rPr>
          <w:rFonts w:hint="default" w:ascii="Times New Roman" w:hAnsi="Times New Roman" w:eastAsia="宋体" w:cs="Times New Roman"/>
          <w:color w:val="auto"/>
          <w:lang w:val="en-US" w:eastAsia="zh-CN"/>
        </w:rPr>
        <w:t>第</w:t>
      </w:r>
      <w:r>
        <w:rPr>
          <w:rFonts w:hint="default" w:ascii="Times New Roman" w:hAnsi="Times New Roman" w:cs="Times New Roman"/>
          <w:color w:val="auto"/>
          <w:lang w:val="en-US" w:eastAsia="zh-CN"/>
        </w:rPr>
        <w:t>八</w:t>
      </w:r>
      <w:r>
        <w:rPr>
          <w:rFonts w:hint="default" w:ascii="Times New Roman" w:hAnsi="Times New Roman" w:eastAsia="宋体" w:cs="Times New Roman"/>
          <w:color w:val="auto"/>
          <w:lang w:val="en-US" w:eastAsia="zh-CN"/>
        </w:rPr>
        <w:t>章  环境管理与监测计划</w:t>
      </w:r>
      <w:bookmarkEnd w:id="46"/>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环境管理是企业管理的一项重要内容。加强环境监督管理力度，尽可能的减少“三废”排放数量及提高资源的合理利用率，把对环境的不良影响减小到最低限度，是企业实现环境、生产、经济协调持续发展的重要措施。环境监测是环境管理的重要组成部分，加强环境监测是了解和掌握项目排污特征，研究污染发展趋势及防治对策的重要依据与途径。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本管道工程线路长，地形变化大，穿越公路、河流，对环境的影响主要来自施工期的各种作业活动及运行期的风险事故。无论是施工期的各种作业活动还是运行期的事故，都将会给生态环境带来较大的影响。为最大限度地减轻施工作业对生态环境的影响，减少事故的发生，确保管道安全运行，建立科学有效的环境管理体制，落实各项环保和安全措施尤为重要。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本章将根据工程在施工期和运营期的环境污染特征，提出施工期和运营期的环境管理、施工环境监理和环境监测计划的具体内容。</w:t>
      </w:r>
      <w:r>
        <w:rPr>
          <w:rFonts w:hint="default" w:ascii="Times New Roman" w:hAnsi="Times New Roman" w:eastAsia="宋体" w:cs="Times New Roman"/>
          <w:b/>
          <w:bCs/>
          <w:color w:val="auto"/>
          <w:kern w:val="0"/>
          <w:sz w:val="24"/>
          <w:szCs w:val="24"/>
          <w:lang w:val="en-US" w:eastAsia="zh-CN" w:bidi="ar"/>
        </w:rPr>
        <w:t xml:space="preserve"> </w:t>
      </w:r>
    </w:p>
    <w:p>
      <w:pPr>
        <w:pStyle w:val="5"/>
        <w:keepNext/>
        <w:keepLines/>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color w:val="auto"/>
        </w:rPr>
      </w:pPr>
      <w:bookmarkStart w:id="47" w:name="_Toc3012"/>
      <w:bookmarkStart w:id="48" w:name="_Toc468637119"/>
      <w:bookmarkStart w:id="49" w:name="_Toc465158869"/>
      <w:bookmarkStart w:id="50" w:name="_Toc475004290"/>
      <w:bookmarkStart w:id="51" w:name="_Toc31002"/>
      <w:r>
        <w:rPr>
          <w:rFonts w:hint="default" w:ascii="Times New Roman" w:hAnsi="Times New Roman" w:cs="Times New Roman"/>
          <w:color w:val="auto"/>
          <w:lang w:val="en-US" w:eastAsia="zh-CN"/>
        </w:rPr>
        <w:t>8.1</w:t>
      </w:r>
      <w:r>
        <w:rPr>
          <w:rFonts w:hint="default" w:ascii="Times New Roman" w:hAnsi="Times New Roman" w:cs="Times New Roman"/>
          <w:color w:val="auto"/>
        </w:rPr>
        <w:t>环境管理</w:t>
      </w:r>
      <w:bookmarkEnd w:id="47"/>
      <w:bookmarkEnd w:id="48"/>
      <w:bookmarkEnd w:id="49"/>
      <w:bookmarkEnd w:id="50"/>
      <w:bookmarkEnd w:id="51"/>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环境管理是项目建设管理工作的重要组成部分，其主要目的是通过开展环境管理工作，促进项目建设单位和管理单位积极、主动地预防和控制各类环境问题的产生与扩散，促进项目建设生态环境的良性循环。制定出详尽的环境管理监控计划并加以贯彻实施，可以避免因管理不善而可能产生的各种环境污染和环境风险。为此，在项目施工建设及投入运营期间，应贯彻落实国家、地方政府制定的有关法规，正确处理好项目建设、发展与环境保护的协调关系，从而真正使项目的建设达到可持续发展的战略目标。</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根据《中华人民共和国环境保护法》和《建设项目环境保护管理条例》，建设单位必须把环境保护工作纳入计划，建立环境保护责任制度，设置环境保护机构，采取有效措施，防治环境破坏。针对项目特点，结合企业实际情况从环境管理角度出发，提出有关建议</w:t>
      </w:r>
    </w:p>
    <w:p>
      <w:pPr>
        <w:pStyle w:val="5"/>
        <w:keepNext/>
        <w:keepLines/>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color w:val="auto"/>
          <w:lang w:val="en-US" w:eastAsia="zh-CN"/>
        </w:rPr>
      </w:pPr>
      <w:bookmarkStart w:id="52" w:name="_Toc20298"/>
      <w:r>
        <w:rPr>
          <w:rFonts w:hint="default" w:ascii="Times New Roman" w:hAnsi="Times New Roman" w:cs="Times New Roman"/>
          <w:color w:val="auto"/>
          <w:lang w:val="en-US" w:eastAsia="zh-CN"/>
        </w:rPr>
        <w:t>8.2 环境管理的必要性</w:t>
      </w:r>
      <w:bookmarkEnd w:id="52"/>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为了充分发挥米易县水系连通及农村水系综合整治工程的社会效益、经济效益和生态环境效益，保护施工区的生态环境，发挥工程的有利影响，最大限度减免不利影响，使工程施工区的生态环境呈良性循环，保证各项环境保护措施的落实，必须加强工程施工及运行期间的环境管理工作，尽早建立完善的环境管理体系，尽可能的减少工程实施对环境及生态的不利影响。</w:t>
      </w:r>
    </w:p>
    <w:p>
      <w:pPr>
        <w:pStyle w:val="5"/>
        <w:keepNext/>
        <w:keepLines/>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color w:val="auto"/>
          <w:lang w:val="en-US" w:eastAsia="zh-CN"/>
        </w:rPr>
      </w:pPr>
      <w:bookmarkStart w:id="53" w:name="_Toc27480"/>
      <w:r>
        <w:rPr>
          <w:rFonts w:hint="default" w:ascii="Times New Roman" w:hAnsi="Times New Roman" w:cs="Times New Roman"/>
          <w:color w:val="auto"/>
          <w:lang w:val="en-US" w:eastAsia="zh-CN"/>
        </w:rPr>
        <w:t>8.3环境管理体系</w:t>
      </w:r>
      <w:bookmarkEnd w:id="53"/>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为了使工程环境保护措施得以切实有效的实施，达到工程建设与环境保护协调发展，必须建立完善的环境保护管理体系，以确保工程建设环境保护规划总体目标的实现，本项目环境保护管理体系分为外部环境管理和内部环境管理两部分。</w:t>
      </w:r>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外部环境管理指国家及各级地方环境保护行政主管部门根据国家相关的法律、法规，不定期的对项目区水系综合整治工程项目环境保护工作进行检查、监督和指导，检查是否达到相应的环境保护标准与要求。</w:t>
      </w:r>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内部环境管理指工程建设单位和施工单位对环境保护措施进行优化、组织和实施，保证达到国家建设项目环境保护要求与地方环境保护主管部门的要求，由环境监理单位对其环保措施进行全过程监理。水利枢纽内部环境管理体系具体包括工程环境管理机构、工程建设部门、环境监理单位、环境监测单位及各环保措施实施单位等，对环境保护工程的实施实行分级监管。</w:t>
      </w:r>
    </w:p>
    <w:p>
      <w:pPr>
        <w:pStyle w:val="5"/>
        <w:keepNext/>
        <w:keepLines/>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color w:val="auto"/>
          <w:lang w:val="en-US" w:eastAsia="zh-CN"/>
        </w:rPr>
      </w:pPr>
      <w:bookmarkStart w:id="54" w:name="_Toc15812"/>
      <w:r>
        <w:rPr>
          <w:rFonts w:hint="default" w:ascii="Times New Roman" w:hAnsi="Times New Roman" w:cs="Times New Roman"/>
          <w:color w:val="auto"/>
          <w:lang w:val="en-US" w:eastAsia="zh-CN"/>
        </w:rPr>
        <w:t>8.4 施工期环境管理</w:t>
      </w:r>
      <w:bookmarkEnd w:id="54"/>
    </w:p>
    <w:p>
      <w:pPr>
        <w:widowControl/>
        <w:ind w:firstLine="482" w:firstLineChars="200"/>
        <w:jc w:val="left"/>
        <w:rPr>
          <w:rFonts w:hint="default" w:ascii="Times New Roman" w:hAnsi="Times New Roman" w:cs="Times New Roman"/>
          <w:b/>
          <w:bCs/>
          <w:color w:val="auto"/>
          <w:sz w:val="24"/>
          <w:szCs w:val="24"/>
        </w:rPr>
      </w:pPr>
      <w:r>
        <w:rPr>
          <w:rFonts w:hint="default" w:ascii="Times New Roman" w:hAnsi="Times New Roman" w:cs="Times New Roman"/>
          <w:b/>
          <w:bCs/>
          <w:color w:val="auto"/>
          <w:kern w:val="0"/>
          <w:sz w:val="24"/>
          <w:szCs w:val="24"/>
          <w:lang w:bidi="ar"/>
        </w:rPr>
        <w:t xml:space="preserve">1、目的 </w:t>
      </w:r>
    </w:p>
    <w:p>
      <w:pPr>
        <w:widowControl/>
        <w:spacing w:line="360" w:lineRule="auto"/>
        <w:ind w:firstLine="480" w:firstLineChars="200"/>
        <w:jc w:val="left"/>
        <w:rPr>
          <w:rFonts w:hint="default" w:ascii="Times New Roman" w:hAnsi="Times New Roman" w:cs="Times New Roman"/>
          <w:color w:val="auto"/>
        </w:rPr>
      </w:pPr>
      <w:r>
        <w:rPr>
          <w:rFonts w:hint="default" w:ascii="Times New Roman" w:hAnsi="Times New Roman" w:cs="Times New Roman"/>
          <w:color w:val="auto"/>
          <w:kern w:val="0"/>
          <w:sz w:val="24"/>
          <w:szCs w:val="24"/>
          <w:lang w:bidi="ar"/>
        </w:rPr>
        <w:t xml:space="preserve">按照“同时设计、同时施工、同时投产使用”的“三同时”原则，保证工程各项环境保护措施的顺利落实，使工程兴建对环境的不利影响得以减免，并保证工程地区环保工作的长期顺利进行，以保证工程地区生态环境的良性发展。 </w:t>
      </w:r>
    </w:p>
    <w:p>
      <w:pPr>
        <w:widowControl/>
        <w:ind w:firstLine="482" w:firstLineChars="200"/>
        <w:jc w:val="left"/>
        <w:rPr>
          <w:rFonts w:hint="default" w:ascii="Times New Roman" w:hAnsi="Times New Roman" w:cs="Times New Roman"/>
          <w:b/>
          <w:bCs/>
          <w:color w:val="auto"/>
          <w:kern w:val="0"/>
          <w:sz w:val="24"/>
          <w:szCs w:val="24"/>
          <w:lang w:bidi="ar"/>
        </w:rPr>
      </w:pPr>
      <w:r>
        <w:rPr>
          <w:rFonts w:hint="default" w:ascii="Times New Roman" w:hAnsi="Times New Roman" w:cs="Times New Roman"/>
          <w:b/>
          <w:bCs/>
          <w:color w:val="auto"/>
          <w:kern w:val="0"/>
          <w:sz w:val="24"/>
          <w:szCs w:val="24"/>
          <w:lang w:bidi="ar"/>
        </w:rPr>
        <w:t>2、任务</w:t>
      </w:r>
    </w:p>
    <w:p>
      <w:pPr>
        <w:pStyle w:val="2"/>
        <w:ind w:firstLine="482" w:firstLineChars="200"/>
        <w:jc w:val="both"/>
        <w:rPr>
          <w:rFonts w:hint="default" w:ascii="Times New Roman" w:hAnsi="Times New Roman" w:cs="Times New Roman"/>
          <w:b/>
          <w:bCs/>
          <w:color w:val="auto"/>
          <w:kern w:val="0"/>
          <w:sz w:val="24"/>
          <w:szCs w:val="24"/>
          <w:lang w:bidi="ar"/>
        </w:rPr>
      </w:pPr>
      <w:r>
        <w:rPr>
          <w:rFonts w:hint="default" w:ascii="Times New Roman" w:hAnsi="Times New Roman" w:cs="Times New Roman"/>
          <w:b/>
          <w:bCs/>
          <w:color w:val="auto"/>
          <w:kern w:val="0"/>
          <w:sz w:val="24"/>
          <w:szCs w:val="24"/>
          <w:lang w:bidi="ar"/>
        </w:rPr>
        <w:t>施工期</w:t>
      </w:r>
    </w:p>
    <w:p>
      <w:pPr>
        <w:widowControl/>
        <w:spacing w:line="360" w:lineRule="auto"/>
        <w:ind w:firstLine="480" w:firstLineChars="200"/>
        <w:jc w:val="left"/>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 xml:space="preserve">（1）贯彻执行国家有关环境保护方针、政策及法规条例，制订工程环境保护管理具体规定与管理办法。 </w:t>
      </w:r>
    </w:p>
    <w:p>
      <w:pPr>
        <w:widowControl/>
        <w:spacing w:line="360" w:lineRule="auto"/>
        <w:ind w:firstLine="480" w:firstLineChars="200"/>
        <w:jc w:val="left"/>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 xml:space="preserve">（2）按照国家有关环境保护法规和工程的环境保护规定，统一管理施工工区环境保护工作。 </w:t>
      </w:r>
    </w:p>
    <w:p>
      <w:pPr>
        <w:widowControl/>
        <w:spacing w:line="360" w:lineRule="auto"/>
        <w:ind w:firstLine="480" w:firstLineChars="200"/>
        <w:jc w:val="left"/>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（3）编制环境管理工作计划，整编监测资料，建立工程的生态与环境信息库，编制工程年度环境质量报告，并报上级主管部门和地方</w:t>
      </w:r>
      <w:r>
        <w:rPr>
          <w:rFonts w:hint="default" w:ascii="Times New Roman" w:hAnsi="Times New Roman" w:cs="Times New Roman"/>
          <w:color w:val="auto"/>
          <w:kern w:val="0"/>
          <w:sz w:val="24"/>
          <w:szCs w:val="24"/>
          <w:lang w:eastAsia="zh-CN" w:bidi="ar"/>
        </w:rPr>
        <w:t>生态环境</w:t>
      </w:r>
      <w:r>
        <w:rPr>
          <w:rFonts w:hint="default" w:ascii="Times New Roman" w:hAnsi="Times New Roman" w:cs="Times New Roman"/>
          <w:color w:val="auto"/>
          <w:kern w:val="0"/>
          <w:sz w:val="24"/>
          <w:szCs w:val="24"/>
          <w:lang w:bidi="ar"/>
        </w:rPr>
        <w:t xml:space="preserve">部门。 </w:t>
      </w:r>
    </w:p>
    <w:p>
      <w:pPr>
        <w:widowControl/>
        <w:spacing w:line="360" w:lineRule="auto"/>
        <w:ind w:firstLine="480" w:firstLineChars="200"/>
        <w:jc w:val="left"/>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 xml:space="preserve">（4）加强环境监测管理，制订年度环境监测计划，委托有相应资质等级的环境、卫生监测等专业部门开展环境监测工作。 </w:t>
      </w:r>
    </w:p>
    <w:p>
      <w:pPr>
        <w:widowControl/>
        <w:spacing w:line="360" w:lineRule="auto"/>
        <w:ind w:firstLine="480" w:firstLineChars="200"/>
        <w:jc w:val="left"/>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 xml:space="preserve">（5）会同地方环境部门检查、监督工程承包商执行环境保护条款的情况。 </w:t>
      </w:r>
    </w:p>
    <w:p>
      <w:pPr>
        <w:widowControl/>
        <w:spacing w:line="360" w:lineRule="auto"/>
        <w:ind w:firstLine="480" w:firstLineChars="200"/>
        <w:jc w:val="left"/>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 xml:space="preserve">（6）负责协调处理工程引起的环境纠纷和环境污染事故。 </w:t>
      </w:r>
    </w:p>
    <w:p>
      <w:pPr>
        <w:widowControl/>
        <w:spacing w:line="360" w:lineRule="auto"/>
        <w:ind w:firstLine="480" w:firstLineChars="200"/>
        <w:jc w:val="left"/>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（7）加强环境保护的宣传教育，负责组织实施环境管理培训工作，提高工程环境管理人员的技术水平。</w:t>
      </w:r>
    </w:p>
    <w:p>
      <w:pPr>
        <w:widowControl/>
        <w:spacing w:line="360" w:lineRule="auto"/>
        <w:ind w:firstLine="480" w:firstLineChars="200"/>
        <w:jc w:val="left"/>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营运期</w:t>
      </w:r>
    </w:p>
    <w:p>
      <w:pPr>
        <w:widowControl/>
        <w:spacing w:line="360" w:lineRule="auto"/>
        <w:ind w:firstLine="480" w:firstLineChars="200"/>
        <w:jc w:val="left"/>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 xml:space="preserve">（1）落实运行期工程环境保护措施，重点监督落实运行期水体水质保证措施。 </w:t>
      </w:r>
    </w:p>
    <w:p>
      <w:pPr>
        <w:widowControl/>
        <w:spacing w:line="360" w:lineRule="auto"/>
        <w:ind w:firstLine="480" w:firstLineChars="200"/>
        <w:jc w:val="left"/>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 xml:space="preserve">（2）制定工程的环境保护规划和环境保护规章制度，制定环境管理办法和制度。 </w:t>
      </w:r>
    </w:p>
    <w:p>
      <w:pPr>
        <w:widowControl/>
        <w:spacing w:line="360" w:lineRule="auto"/>
        <w:ind w:firstLine="480" w:firstLineChars="200"/>
        <w:jc w:val="left"/>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 xml:space="preserve">（3）协助地方环境部门开展工程区内环境保护工作，处理与工程有关的环境问题。 </w:t>
      </w:r>
    </w:p>
    <w:p>
      <w:pPr>
        <w:widowControl/>
        <w:spacing w:line="360" w:lineRule="auto"/>
        <w:ind w:firstLine="480" w:firstLineChars="200"/>
        <w:jc w:val="left"/>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（4）执行国家、地方环境部门的环境保护要求。</w:t>
      </w:r>
    </w:p>
    <w:p>
      <w:pPr>
        <w:pStyle w:val="5"/>
        <w:keepNext/>
        <w:keepLines/>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color w:val="auto"/>
          <w:lang w:val="en-US" w:eastAsia="zh-CN"/>
        </w:rPr>
      </w:pPr>
      <w:bookmarkStart w:id="55" w:name="_Toc2923"/>
      <w:r>
        <w:rPr>
          <w:rFonts w:hint="default" w:ascii="Times New Roman" w:hAnsi="Times New Roman" w:cs="Times New Roman"/>
          <w:color w:val="auto"/>
          <w:lang w:val="en-US" w:eastAsia="zh-CN"/>
        </w:rPr>
        <w:t>8.5 环境管理机构设置及职能</w:t>
      </w:r>
      <w:bookmarkEnd w:id="55"/>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 xml:space="preserve">（1）施工期的环境管理机构及职能 </w:t>
      </w:r>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施工期环境管理机构为：米易县水利局、攀枝花市生态环境局</w:t>
      </w:r>
      <w:r>
        <w:rPr>
          <w:rFonts w:hint="default" w:ascii="Times New Roman" w:hAnsi="Times New Roman" w:cs="Times New Roman"/>
          <w:color w:val="auto"/>
          <w:lang w:eastAsia="zh-CN"/>
        </w:rPr>
        <w:t>、</w:t>
      </w:r>
      <w:r>
        <w:rPr>
          <w:rFonts w:hint="default" w:ascii="Times New Roman" w:hAnsi="Times New Roman" w:cs="Times New Roman"/>
          <w:color w:val="auto"/>
        </w:rPr>
        <w:t>米易</w:t>
      </w:r>
      <w:r>
        <w:rPr>
          <w:rFonts w:hint="default" w:ascii="Times New Roman" w:hAnsi="Times New Roman" w:cs="Times New Roman"/>
          <w:color w:val="auto"/>
          <w:lang w:eastAsia="zh-CN"/>
        </w:rPr>
        <w:t>生态环境局</w:t>
      </w:r>
      <w:r>
        <w:rPr>
          <w:rFonts w:hint="default" w:ascii="Times New Roman" w:hAnsi="Times New Roman" w:cs="Times New Roman"/>
          <w:color w:val="auto"/>
        </w:rPr>
        <w:t>、有资质的环境监测、监理单位与施工单位。对工程的环境保护工作实行统一管理，具体包括以下内容：</w:t>
      </w:r>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①贯彻执行国家和地方的有关环境保护法规，编制施工期环境保护管理制度并组织实施，制定培训计划。</w:t>
      </w:r>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②将有关环保措施列入招标文件，并委托设计、施工单位落实各项环保措施。</w:t>
      </w:r>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③委托有资质的监测单位按照本项目的环境管理计划进行施工期和运营期环境监测。并建立监测档案，对监测单位提供的数据要复查并送交环保局。</w:t>
      </w:r>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lang w:eastAsia="zh-CN"/>
        </w:rPr>
        <w:t>米易生态环境局</w:t>
      </w:r>
      <w:r>
        <w:rPr>
          <w:rFonts w:hint="default" w:ascii="Times New Roman" w:hAnsi="Times New Roman" w:cs="Times New Roman"/>
          <w:color w:val="auto"/>
        </w:rPr>
        <w:t>负责项目环境管理和监督，依据管理计划对施工河段的水质、空气、噪声等进行抽查；检查工程施工时环保措施的实施情况。</w:t>
      </w:r>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有资质监测机构要按照环境管理和监测计划完成工程的环境监测、数据分析及数据管理，按时向建设单位提供监测数据和监测报告。</w:t>
      </w:r>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施工单位具体执行工程招标文件和设计文件中规定的施工期环保对策、措施的实施，制定和实施环保工作计划，接受有关部门对环保工作的监督和管理。</w:t>
      </w:r>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 xml:space="preserve">（2）运营期环境管理 </w:t>
      </w:r>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运营期环境管理机构由水利部门与生态环境局组成，共同做好工程在运营期的环境管理工作。</w:t>
      </w:r>
    </w:p>
    <w:p>
      <w:pPr>
        <w:pStyle w:val="5"/>
        <w:keepNext/>
        <w:keepLines/>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color w:val="auto"/>
          <w:lang w:val="en-US" w:eastAsia="zh-CN"/>
        </w:rPr>
      </w:pPr>
      <w:bookmarkStart w:id="56" w:name="_Toc27039"/>
      <w:r>
        <w:rPr>
          <w:rFonts w:hint="default" w:ascii="Times New Roman" w:hAnsi="Times New Roman" w:cs="Times New Roman"/>
          <w:color w:val="auto"/>
          <w:lang w:val="en-US" w:eastAsia="zh-CN"/>
        </w:rPr>
        <w:t>8.6 环境管理规章制度</w:t>
      </w:r>
      <w:bookmarkEnd w:id="56"/>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完善的环境管理制度的建立，有利于环境保护工程的监督、管理、实施和突发事件的处理。本项目环境管理制度主要包括以下几个方面：</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 xml:space="preserve">（1）环境质量报告制度 </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环境监测是获取工程环境信息的重要手段，是实施环境管理和环境保护措施的主要依据。根据监测计划，将对米易县水系综合整治工程项目环境进行定期监测，监测实行季报、年报和定期编制环境质量报告书以及年审等制度，将监测结果上报业主单位，以便及时掌握工程质量状况，并制定相关的环境保护对策。</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 xml:space="preserve">（2）“三同时”制度 </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防治污染及其它公害的设施执行“三同时”制度，必须与建设项目同时设计、同时施工、同时投入运行。有关“三同时”的项目须经有关部门验收合格后才能正式投入运行。</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 xml:space="preserve">（3）宣传、培训制度 </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项目环境管理机构应经常通过广播、电视、报刊、宣传栏、展览会和专题讲座等多种途径对技术人员进行宣传教育，增强环保意识，提高环保素质，使他们自觉地参与到环境保护工作中；编制《施工区环境保护管理办法》和《环境保护实施细则》等环保手册，明确施工区环境保护的具体要求；定期组织各施工单位环境保护专业人员进行业务培训，提高业务水平。</w:t>
      </w:r>
    </w:p>
    <w:p>
      <w:pPr>
        <w:pStyle w:val="5"/>
        <w:keepNext/>
        <w:keepLines/>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color w:val="auto"/>
          <w:lang w:val="en-US" w:eastAsia="zh-CN"/>
        </w:rPr>
      </w:pPr>
      <w:bookmarkStart w:id="57" w:name="_Toc30646"/>
      <w:r>
        <w:rPr>
          <w:rFonts w:hint="default" w:ascii="Times New Roman" w:hAnsi="Times New Roman" w:cs="Times New Roman"/>
          <w:color w:val="auto"/>
          <w:lang w:val="en-US" w:eastAsia="zh-CN"/>
        </w:rPr>
        <w:t>8.7 环境管理内容</w:t>
      </w:r>
      <w:bookmarkEnd w:id="57"/>
    </w:p>
    <w:p>
      <w:pPr>
        <w:pStyle w:val="8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为了实现本工程经济、社会、生态效益的协调发展，落实各项目环保措施， 结合工程特点及环境现状，筹建期、施工期和运行期的环境管理主要内容分别是：</w:t>
      </w:r>
    </w:p>
    <w:p>
      <w:pPr>
        <w:pStyle w:val="8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1、筹建期</w:t>
      </w:r>
    </w:p>
    <w:p>
      <w:pPr>
        <w:pStyle w:val="8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（1）审核环境影响评价成果，并确保《</w:t>
      </w:r>
      <w:r>
        <w:rPr>
          <w:rFonts w:hint="default" w:ascii="Times New Roman" w:hAnsi="Times New Roman" w:cs="Times New Roman"/>
          <w:color w:val="auto"/>
          <w:szCs w:val="18"/>
        </w:rPr>
        <w:t>米易县草场河水系连通及农村水系综合整治项目</w:t>
      </w:r>
      <w:r>
        <w:rPr>
          <w:rFonts w:hint="default" w:ascii="Times New Roman" w:hAnsi="Times New Roman" w:cs="Times New Roman"/>
          <w:color w:val="auto"/>
        </w:rPr>
        <w:t>环境影响报告书》中有关环保措施纳入工程设计文件。</w:t>
      </w:r>
    </w:p>
    <w:p>
      <w:pPr>
        <w:pStyle w:val="8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（2）确保环境保护条款列入招标文件及合同文件。</w:t>
      </w:r>
    </w:p>
    <w:p>
      <w:pPr>
        <w:pStyle w:val="8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（3）筹建环境管理机构，并对环境管理人员进行培训。</w:t>
      </w:r>
    </w:p>
    <w:p>
      <w:pPr>
        <w:pStyle w:val="8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（4）根据工程特点，制定出完善的工程环境保护规章制度与管理方法，编制工程影响区环境保护实施规划。</w:t>
      </w:r>
    </w:p>
    <w:p>
      <w:pPr>
        <w:pStyle w:val="8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2、施工期</w:t>
      </w:r>
    </w:p>
    <w:p>
      <w:pPr>
        <w:pStyle w:val="8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（1）贯彻执行国家有关环境保护方针、政策及法规条例。</w:t>
      </w:r>
    </w:p>
    <w:p>
      <w:pPr>
        <w:pStyle w:val="8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（2）制定年度工程建设环境保护工作计划，整编相关资料，建立环境信息系统，编制年度环境质量报告，并呈报上级主管部门。</w:t>
      </w:r>
    </w:p>
    <w:p>
      <w:pPr>
        <w:pStyle w:val="8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（3）加强工程环境监测管理，审定监测计划，委托具有相应资质的环境、 卫生监测等专业部门实施环境监测计划。</w:t>
      </w:r>
    </w:p>
    <w:p>
      <w:pPr>
        <w:pStyle w:val="8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（4）加强工程环境监理，委托有相应资质单位执行工程建设环境监理。</w:t>
      </w:r>
    </w:p>
    <w:p>
      <w:pPr>
        <w:pStyle w:val="8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（5）组织实施工程环境保护规划，并监督、检查环境保护措施的执行情况和环保经费的使用情况，保证各项环保措施能按环保“三同时”的原则执行。</w:t>
      </w:r>
    </w:p>
    <w:p>
      <w:pPr>
        <w:pStyle w:val="8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（6）协调处理工程引起的环境污染事故和环境纠纷。</w:t>
      </w:r>
    </w:p>
    <w:p>
      <w:pPr>
        <w:pStyle w:val="8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（7）加强环境保护的宣传教育和技术培训，提高人们的环境保护意识和参 与意识，工程环境管理人员的技术水平。</w:t>
      </w:r>
    </w:p>
    <w:p>
      <w:pPr>
        <w:pStyle w:val="8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3、运行期</w:t>
      </w:r>
    </w:p>
    <w:p>
      <w:pPr>
        <w:pStyle w:val="8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运行期环境管理内容主要是通过对各项环境因子的监测，掌握其变化情况及影响范围，及时发现潜在的环境问题，提出治理对策措施并予以实施。</w:t>
      </w:r>
    </w:p>
    <w:p>
      <w:pPr>
        <w:pStyle w:val="5"/>
        <w:keepNext/>
        <w:keepLines/>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color w:val="auto"/>
          <w:lang w:val="en-US" w:eastAsia="zh-CN"/>
        </w:rPr>
      </w:pPr>
      <w:bookmarkStart w:id="58" w:name="_Toc6346"/>
      <w:bookmarkStart w:id="59" w:name="_Toc465158870"/>
      <w:bookmarkStart w:id="60" w:name="_Toc29857"/>
      <w:bookmarkStart w:id="61" w:name="_Toc468637120"/>
      <w:bookmarkStart w:id="62" w:name="_Toc475004291"/>
      <w:r>
        <w:rPr>
          <w:rFonts w:hint="default" w:ascii="Times New Roman" w:hAnsi="Times New Roman" w:cs="Times New Roman"/>
          <w:color w:val="auto"/>
          <w:lang w:val="en-US" w:eastAsia="zh-CN"/>
        </w:rPr>
        <w:t>8.8环境监测</w:t>
      </w:r>
      <w:bookmarkEnd w:id="58"/>
      <w:bookmarkEnd w:id="59"/>
      <w:bookmarkEnd w:id="60"/>
      <w:bookmarkEnd w:id="61"/>
      <w:bookmarkEnd w:id="62"/>
    </w:p>
    <w:p>
      <w:pPr>
        <w:pStyle w:val="5"/>
        <w:keepNext/>
        <w:keepLines/>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color w:val="auto"/>
          <w:sz w:val="24"/>
          <w:szCs w:val="28"/>
          <w:lang w:val="en-US" w:eastAsia="zh-CN"/>
        </w:rPr>
      </w:pPr>
      <w:bookmarkStart w:id="63" w:name="_Toc17206"/>
      <w:r>
        <w:rPr>
          <w:rFonts w:hint="default" w:ascii="Times New Roman" w:hAnsi="Times New Roman" w:cs="Times New Roman"/>
          <w:color w:val="auto"/>
          <w:sz w:val="24"/>
          <w:szCs w:val="28"/>
          <w:lang w:val="en-US" w:eastAsia="zh-CN"/>
        </w:rPr>
        <w:t>8.8.1 环境监测目的</w:t>
      </w:r>
      <w:bookmarkEnd w:id="63"/>
    </w:p>
    <w:p>
      <w:pPr>
        <w:pStyle w:val="62"/>
        <w:ind w:firstLine="480"/>
        <w:rPr>
          <w:rFonts w:hint="default" w:ascii="Times New Roman" w:hAnsi="Times New Roman" w:cs="Times New Roman"/>
          <w:color w:val="auto"/>
        </w:rPr>
      </w:pPr>
      <w:r>
        <w:rPr>
          <w:rFonts w:hint="default" w:ascii="Times New Roman" w:hAnsi="Times New Roman" w:cs="Times New Roman"/>
          <w:color w:val="auto"/>
        </w:rPr>
        <w:t>通过对项目涉及区环境因子的监测，掌握工程影响范围内各环境因子的变化情况，为及时发现环境问题，并及时采取处理措施提供依据；验证环保措施的实施效果，根据监测结果及时调整环保措施，为工程建设环境建设、监督管理及工程竣工验收提供依据，使工程影响区的生态环境呈良性循环。</w:t>
      </w:r>
    </w:p>
    <w:p>
      <w:pPr>
        <w:pStyle w:val="5"/>
        <w:keepNext/>
        <w:keepLines/>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color w:val="auto"/>
          <w:lang w:val="en-US" w:eastAsia="zh-CN"/>
        </w:rPr>
      </w:pPr>
      <w:bookmarkStart w:id="64" w:name="_Toc3052"/>
      <w:r>
        <w:rPr>
          <w:rFonts w:hint="default" w:ascii="Times New Roman" w:hAnsi="Times New Roman" w:cs="Times New Roman"/>
          <w:color w:val="auto"/>
          <w:lang w:val="en-US" w:eastAsia="zh-CN"/>
        </w:rPr>
        <w:t>8.8.2 环境监测计划</w:t>
      </w:r>
      <w:bookmarkEnd w:id="64"/>
    </w:p>
    <w:p>
      <w:pPr>
        <w:pStyle w:val="5"/>
        <w:keepNext/>
        <w:keepLines/>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color w:val="auto"/>
          <w:sz w:val="24"/>
          <w:szCs w:val="28"/>
          <w:lang w:val="en-US" w:eastAsia="zh-CN"/>
        </w:rPr>
      </w:pPr>
      <w:bookmarkStart w:id="65" w:name="_Toc18188"/>
      <w:r>
        <w:rPr>
          <w:rFonts w:hint="default" w:ascii="Times New Roman" w:hAnsi="Times New Roman" w:cs="Times New Roman"/>
          <w:color w:val="auto"/>
          <w:sz w:val="24"/>
          <w:szCs w:val="28"/>
          <w:lang w:val="en-US" w:eastAsia="zh-CN"/>
        </w:rPr>
        <w:t>8.8.2.1 施工期监测计划</w:t>
      </w:r>
      <w:bookmarkEnd w:id="65"/>
    </w:p>
    <w:p>
      <w:pPr>
        <w:pStyle w:val="75"/>
        <w:ind w:firstLine="482"/>
        <w:rPr>
          <w:rFonts w:hint="default" w:ascii="Times New Roman" w:hAnsi="Times New Roman" w:cs="Times New Roman"/>
          <w:b/>
          <w:bCs/>
          <w:color w:val="auto"/>
        </w:rPr>
      </w:pPr>
      <w:r>
        <w:rPr>
          <w:rFonts w:hint="default" w:ascii="Times New Roman" w:hAnsi="Times New Roman" w:cs="Times New Roman"/>
          <w:b/>
          <w:bCs/>
          <w:color w:val="auto"/>
        </w:rPr>
        <w:t>1、施工期废（污）水监测</w:t>
      </w:r>
    </w:p>
    <w:p>
      <w:pPr>
        <w:pStyle w:val="75"/>
        <w:ind w:firstLine="480"/>
        <w:rPr>
          <w:rFonts w:hint="default" w:ascii="Times New Roman" w:hAnsi="Times New Roman" w:cs="Times New Roman"/>
          <w:color w:val="auto"/>
        </w:rPr>
      </w:pPr>
      <w:r>
        <w:rPr>
          <w:rFonts w:hint="default" w:ascii="Times New Roman" w:hAnsi="Times New Roman" w:cs="Times New Roman"/>
          <w:color w:val="auto"/>
        </w:rPr>
        <w:t xml:space="preserve">（1）监测点布置 </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在满足《环境监测技术规范》要求的基础上，在生产废水和生活污水主要排放口设置监测点。结合施工组织设计资料及施工的工艺流程，确定主要生产废水监测对象为基坑沉淀池出水；生活污水依托租用民房设施</w:t>
      </w:r>
      <w:r>
        <w:rPr>
          <w:rFonts w:hint="default" w:ascii="Times New Roman" w:hAnsi="Times New Roman" w:cs="Times New Roman"/>
          <w:color w:val="auto"/>
          <w:lang w:eastAsia="zh-CN"/>
        </w:rPr>
        <w:t>处理</w:t>
      </w:r>
      <w:r>
        <w:rPr>
          <w:rFonts w:hint="default" w:ascii="Times New Roman" w:hAnsi="Times New Roman" w:cs="Times New Roman"/>
          <w:color w:val="auto"/>
        </w:rPr>
        <w:t>不外排。</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 xml:space="preserve">（2）监测技术要求 </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 xml:space="preserve">水样采集按照《环境监测技术规范》中的方法执行，样品分析按照《地表水环境质量标准》（GB3838-2002）中规定的方法执行。 </w:t>
      </w:r>
    </w:p>
    <w:p>
      <w:pPr>
        <w:pStyle w:val="75"/>
        <w:spacing w:line="360" w:lineRule="auto"/>
        <w:ind w:firstLine="482"/>
        <w:rPr>
          <w:rFonts w:hint="default" w:ascii="Times New Roman" w:hAnsi="Times New Roman" w:cs="Times New Roman"/>
          <w:b/>
          <w:bCs/>
          <w:color w:val="auto"/>
        </w:rPr>
      </w:pPr>
      <w:r>
        <w:rPr>
          <w:rFonts w:hint="default" w:ascii="Times New Roman" w:hAnsi="Times New Roman" w:cs="Times New Roman"/>
          <w:b/>
          <w:bCs/>
          <w:color w:val="auto"/>
        </w:rPr>
        <w:t>2、施工期地表水水质监测</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 xml:space="preserve">（1）监测点布置 </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根据工程布置，水环境监测点位主要布置于各施工区下游河段，共设置</w:t>
      </w:r>
      <w:r>
        <w:rPr>
          <w:rFonts w:hint="default" w:ascii="Times New Roman" w:hAnsi="Times New Roman" w:cs="Times New Roman"/>
          <w:color w:val="auto"/>
          <w:lang w:val="en-US" w:eastAsia="zh-CN"/>
        </w:rPr>
        <w:t>2</w:t>
      </w:r>
      <w:r>
        <w:rPr>
          <w:rFonts w:hint="default" w:ascii="Times New Roman" w:hAnsi="Times New Roman" w:cs="Times New Roman"/>
          <w:color w:val="auto"/>
        </w:rPr>
        <w:t>个水质监测断面，具体如下：1#：</w:t>
      </w:r>
      <w:r>
        <w:rPr>
          <w:rFonts w:hint="default" w:ascii="Times New Roman" w:hAnsi="Times New Roman" w:cs="Times New Roman"/>
          <w:color w:val="auto"/>
          <w:lang w:eastAsia="zh-CN"/>
        </w:rPr>
        <w:t>东河</w:t>
      </w:r>
      <w:r>
        <w:rPr>
          <w:rFonts w:hint="default" w:ascii="Times New Roman" w:hAnsi="Times New Roman" w:cs="Times New Roman"/>
          <w:color w:val="auto"/>
        </w:rPr>
        <w:t>施工区上游500m；2#：</w:t>
      </w:r>
      <w:r>
        <w:rPr>
          <w:rFonts w:hint="default" w:ascii="Times New Roman" w:hAnsi="Times New Roman" w:cs="Times New Roman"/>
          <w:color w:val="auto"/>
          <w:lang w:eastAsia="zh-CN"/>
        </w:rPr>
        <w:t>青盐沟</w:t>
      </w:r>
      <w:r>
        <w:rPr>
          <w:rFonts w:hint="default" w:ascii="Times New Roman" w:hAnsi="Times New Roman" w:cs="Times New Roman"/>
          <w:color w:val="auto"/>
        </w:rPr>
        <w:t>施工区上游500m。</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 xml:space="preserve">（2）环境监测技术要求 </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监测项目：pH、SS、DO、COD、BOD</w:t>
      </w:r>
      <w:r>
        <w:rPr>
          <w:rFonts w:hint="default" w:ascii="Times New Roman" w:hAnsi="Times New Roman" w:cs="Times New Roman"/>
          <w:color w:val="auto"/>
          <w:vertAlign w:val="subscript"/>
        </w:rPr>
        <w:t>5</w:t>
      </w:r>
      <w:r>
        <w:rPr>
          <w:rFonts w:hint="default" w:ascii="Times New Roman" w:hAnsi="Times New Roman" w:cs="Times New Roman"/>
          <w:color w:val="auto"/>
        </w:rPr>
        <w:t>、氨氮、总氮、总磷、粪大肠菌群、石油类等。</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监测布设：根据《地表水和污水监测技术规范》（HJ／T 91-2002 ）的要求；样品分析按照《地表水 环境质量标准》（GB3838-2002）中规定的方法执行。</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监测频次：筹建期监测一次，施工期每季度监测1期，每期2天，监测4次。</w:t>
      </w:r>
    </w:p>
    <w:p>
      <w:pPr>
        <w:pStyle w:val="86"/>
        <w:spacing w:after="0" w:afterLines="0"/>
        <w:rPr>
          <w:rFonts w:hint="default" w:ascii="Times New Roman" w:hAnsi="Times New Roman" w:cs="Times New Roman"/>
          <w:color w:val="auto"/>
          <w:szCs w:val="24"/>
        </w:rPr>
      </w:pPr>
      <w:r>
        <w:rPr>
          <w:rFonts w:hint="default" w:ascii="Times New Roman" w:hAnsi="Times New Roman" w:cs="Times New Roman"/>
          <w:color w:val="auto"/>
          <w:szCs w:val="24"/>
        </w:rPr>
        <w:t>表7.2-2</w:t>
      </w:r>
      <w:r>
        <w:rPr>
          <w:rFonts w:hint="default" w:ascii="Times New Roman" w:hAnsi="Times New Roman" w:cs="Times New Roman"/>
          <w:color w:val="auto"/>
          <w:szCs w:val="24"/>
        </w:rPr>
        <w:tab/>
      </w:r>
      <w:r>
        <w:rPr>
          <w:rFonts w:hint="default" w:ascii="Times New Roman" w:hAnsi="Times New Roman" w:cs="Times New Roman"/>
          <w:color w:val="auto"/>
          <w:szCs w:val="24"/>
        </w:rPr>
        <w:t xml:space="preserve"> 施工期水质监测要求一览表</w:t>
      </w:r>
    </w:p>
    <w:tbl>
      <w:tblPr>
        <w:tblStyle w:val="24"/>
        <w:tblW w:w="8381" w:type="dxa"/>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
      <w:tblGrid>
        <w:gridCol w:w="3660"/>
        <w:gridCol w:w="2405"/>
        <w:gridCol w:w="2316"/>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3660" w:type="dxa"/>
            <w:noWrap w:val="0"/>
            <w:vAlign w:val="center"/>
          </w:tcPr>
          <w:p>
            <w:pPr>
              <w:pStyle w:val="32"/>
              <w:spacing w:line="240" w:lineRule="auto"/>
              <w:rPr>
                <w:rFonts w:hint="default" w:ascii="Times New Roman" w:hAnsi="Times New Roman" w:cs="Times New Roman"/>
                <w:color w:val="auto"/>
                <w:sz w:val="21"/>
                <w:szCs w:val="21"/>
                <w:lang w:bidi="ar"/>
              </w:rPr>
            </w:pPr>
            <w:r>
              <w:rPr>
                <w:rFonts w:hint="default" w:ascii="Times New Roman" w:hAnsi="Times New Roman" w:cs="Times New Roman"/>
                <w:color w:val="auto"/>
                <w:sz w:val="21"/>
                <w:szCs w:val="21"/>
                <w:lang w:bidi="ar"/>
              </w:rPr>
              <w:t>监测断面/点位</w:t>
            </w:r>
          </w:p>
        </w:tc>
        <w:tc>
          <w:tcPr>
            <w:tcW w:w="2405" w:type="dxa"/>
            <w:noWrap w:val="0"/>
            <w:vAlign w:val="center"/>
          </w:tcPr>
          <w:p>
            <w:pPr>
              <w:pStyle w:val="32"/>
              <w:spacing w:line="240" w:lineRule="auto"/>
              <w:rPr>
                <w:rFonts w:hint="default" w:ascii="Times New Roman" w:hAnsi="Times New Roman" w:cs="Times New Roman"/>
                <w:color w:val="auto"/>
                <w:sz w:val="21"/>
                <w:szCs w:val="21"/>
                <w:lang w:bidi="ar"/>
              </w:rPr>
            </w:pPr>
            <w:r>
              <w:rPr>
                <w:rFonts w:hint="default" w:ascii="Times New Roman" w:hAnsi="Times New Roman" w:cs="Times New Roman"/>
                <w:color w:val="auto"/>
                <w:sz w:val="21"/>
                <w:szCs w:val="21"/>
                <w:lang w:bidi="ar"/>
              </w:rPr>
              <w:t>监测项目</w:t>
            </w:r>
          </w:p>
        </w:tc>
        <w:tc>
          <w:tcPr>
            <w:tcW w:w="2316" w:type="dxa"/>
            <w:noWrap w:val="0"/>
            <w:vAlign w:val="center"/>
          </w:tcPr>
          <w:p>
            <w:pPr>
              <w:pStyle w:val="32"/>
              <w:spacing w:line="240" w:lineRule="auto"/>
              <w:rPr>
                <w:rFonts w:hint="default" w:ascii="Times New Roman" w:hAnsi="Times New Roman" w:cs="Times New Roman"/>
                <w:color w:val="auto"/>
                <w:sz w:val="21"/>
                <w:szCs w:val="21"/>
                <w:lang w:bidi="ar"/>
              </w:rPr>
            </w:pPr>
            <w:r>
              <w:rPr>
                <w:rFonts w:hint="default" w:ascii="Times New Roman" w:hAnsi="Times New Roman" w:cs="Times New Roman"/>
                <w:color w:val="auto"/>
                <w:sz w:val="21"/>
                <w:szCs w:val="21"/>
                <w:lang w:bidi="ar"/>
              </w:rPr>
              <w:t>监测周期、时段及频率</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PrEx>
        <w:trPr>
          <w:trHeight w:val="397" w:hRule="atLeast"/>
        </w:trPr>
        <w:tc>
          <w:tcPr>
            <w:tcW w:w="3660" w:type="dxa"/>
            <w:noWrap w:val="0"/>
            <w:vAlign w:val="center"/>
          </w:tcPr>
          <w:p>
            <w:pPr>
              <w:pStyle w:val="32"/>
              <w:spacing w:line="240" w:lineRule="auto"/>
              <w:rPr>
                <w:rFonts w:hint="default" w:ascii="Times New Roman" w:hAnsi="Times New Roman" w:cs="Times New Roman"/>
                <w:color w:val="auto"/>
                <w:sz w:val="21"/>
                <w:szCs w:val="21"/>
                <w:lang w:bidi="ar"/>
              </w:rPr>
            </w:pPr>
            <w:r>
              <w:rPr>
                <w:rFonts w:hint="default" w:ascii="Times New Roman" w:hAnsi="Times New Roman" w:cs="Times New Roman"/>
                <w:color w:val="auto"/>
                <w:sz w:val="21"/>
                <w:szCs w:val="21"/>
              </w:rPr>
              <w:t>1#：</w:t>
            </w:r>
            <w:r>
              <w:rPr>
                <w:rFonts w:hint="default" w:ascii="Times New Roman" w:hAnsi="Times New Roman" w:cs="Times New Roman"/>
                <w:color w:val="auto"/>
                <w:sz w:val="21"/>
                <w:szCs w:val="21"/>
                <w:lang w:eastAsia="zh-CN"/>
              </w:rPr>
              <w:t>东河</w:t>
            </w:r>
            <w:r>
              <w:rPr>
                <w:rFonts w:hint="default" w:ascii="Times New Roman" w:hAnsi="Times New Roman" w:cs="Times New Roman"/>
                <w:color w:val="auto"/>
                <w:sz w:val="21"/>
                <w:szCs w:val="21"/>
              </w:rPr>
              <w:t>施工区上游500m</w:t>
            </w:r>
          </w:p>
        </w:tc>
        <w:tc>
          <w:tcPr>
            <w:tcW w:w="2405" w:type="dxa"/>
            <w:vMerge w:val="restart"/>
            <w:noWrap w:val="0"/>
            <w:vAlign w:val="center"/>
          </w:tcPr>
          <w:p>
            <w:pPr>
              <w:pStyle w:val="32"/>
              <w:spacing w:line="240" w:lineRule="auto"/>
              <w:rPr>
                <w:rFonts w:hint="default" w:ascii="Times New Roman" w:hAnsi="Times New Roman" w:cs="Times New Roman"/>
                <w:color w:val="auto"/>
                <w:kern w:val="0"/>
                <w:sz w:val="21"/>
                <w:szCs w:val="21"/>
                <w:lang w:bidi="ar"/>
              </w:rPr>
            </w:pPr>
            <w:r>
              <w:rPr>
                <w:rFonts w:hint="default" w:ascii="Times New Roman" w:hAnsi="Times New Roman" w:cs="Times New Roman"/>
                <w:color w:val="auto"/>
                <w:sz w:val="21"/>
                <w:szCs w:val="21"/>
                <w:lang w:bidi="ar"/>
              </w:rPr>
              <w:t>pH、SS、DO、COD、 BOD</w:t>
            </w:r>
            <w:r>
              <w:rPr>
                <w:rFonts w:hint="default" w:ascii="Times New Roman" w:hAnsi="Times New Roman" w:cs="Times New Roman"/>
                <w:color w:val="auto"/>
                <w:sz w:val="21"/>
                <w:szCs w:val="21"/>
                <w:vertAlign w:val="subscript"/>
                <w:lang w:bidi="ar"/>
              </w:rPr>
              <w:t>5</w:t>
            </w:r>
            <w:r>
              <w:rPr>
                <w:rFonts w:hint="default" w:ascii="Times New Roman" w:hAnsi="Times New Roman" w:cs="Times New Roman"/>
                <w:color w:val="auto"/>
                <w:sz w:val="21"/>
                <w:szCs w:val="21"/>
                <w:lang w:bidi="ar"/>
              </w:rPr>
              <w:t>、氨氮、总氮、总磷、粪大肠菌 群、石油类共10 项指标。</w:t>
            </w:r>
          </w:p>
        </w:tc>
        <w:tc>
          <w:tcPr>
            <w:tcW w:w="2316" w:type="dxa"/>
            <w:vMerge w:val="restart"/>
            <w:noWrap w:val="0"/>
            <w:vAlign w:val="center"/>
          </w:tcPr>
          <w:p>
            <w:pPr>
              <w:pStyle w:val="32"/>
              <w:spacing w:line="240" w:lineRule="auto"/>
              <w:rPr>
                <w:rFonts w:hint="default" w:ascii="Times New Roman" w:hAnsi="Times New Roman" w:cs="Times New Roman"/>
                <w:color w:val="auto"/>
                <w:kern w:val="0"/>
                <w:sz w:val="21"/>
                <w:szCs w:val="21"/>
                <w:lang w:bidi="ar"/>
              </w:rPr>
            </w:pPr>
            <w:r>
              <w:rPr>
                <w:rFonts w:hint="default" w:ascii="Times New Roman" w:hAnsi="Times New Roman" w:cs="Times New Roman"/>
                <w:color w:val="auto"/>
                <w:sz w:val="21"/>
                <w:szCs w:val="21"/>
                <w:lang w:bidi="ar"/>
              </w:rPr>
              <w:t>筹建期监测一次，施工期每季度监测 1 期，每期 2天；</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PrEx>
        <w:trPr>
          <w:trHeight w:val="397" w:hRule="atLeast"/>
        </w:trPr>
        <w:tc>
          <w:tcPr>
            <w:tcW w:w="3660" w:type="dxa"/>
            <w:noWrap w:val="0"/>
            <w:vAlign w:val="center"/>
          </w:tcPr>
          <w:p>
            <w:pPr>
              <w:pStyle w:val="32"/>
              <w:spacing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r>
              <w:rPr>
                <w:rFonts w:hint="default" w:ascii="Times New Roman" w:hAnsi="Times New Roman" w:cs="Times New Roman"/>
                <w:color w:val="auto"/>
                <w:sz w:val="21"/>
                <w:szCs w:val="21"/>
                <w:lang w:eastAsia="zh-CN"/>
              </w:rPr>
              <w:t>青盐沟</w:t>
            </w:r>
            <w:r>
              <w:rPr>
                <w:rFonts w:hint="default" w:ascii="Times New Roman" w:hAnsi="Times New Roman" w:cs="Times New Roman"/>
                <w:color w:val="auto"/>
                <w:sz w:val="21"/>
                <w:szCs w:val="21"/>
              </w:rPr>
              <w:t>施工区上游500m</w:t>
            </w:r>
          </w:p>
        </w:tc>
        <w:tc>
          <w:tcPr>
            <w:tcW w:w="2405" w:type="dxa"/>
            <w:vMerge w:val="continue"/>
            <w:noWrap w:val="0"/>
            <w:vAlign w:val="center"/>
          </w:tcPr>
          <w:p>
            <w:pPr>
              <w:pStyle w:val="32"/>
              <w:spacing w:line="240" w:lineRule="auto"/>
              <w:rPr>
                <w:rFonts w:hint="default" w:ascii="Times New Roman" w:hAnsi="Times New Roman" w:cs="Times New Roman"/>
                <w:color w:val="auto"/>
                <w:sz w:val="21"/>
                <w:szCs w:val="21"/>
                <w:lang w:bidi="ar"/>
              </w:rPr>
            </w:pPr>
          </w:p>
        </w:tc>
        <w:tc>
          <w:tcPr>
            <w:tcW w:w="2316" w:type="dxa"/>
            <w:vMerge w:val="continue"/>
            <w:noWrap w:val="0"/>
            <w:vAlign w:val="center"/>
          </w:tcPr>
          <w:p>
            <w:pPr>
              <w:pStyle w:val="32"/>
              <w:spacing w:line="240" w:lineRule="auto"/>
              <w:rPr>
                <w:rFonts w:hint="default" w:ascii="Times New Roman" w:hAnsi="Times New Roman" w:cs="Times New Roman"/>
                <w:color w:val="auto"/>
                <w:sz w:val="21"/>
                <w:szCs w:val="21"/>
                <w:lang w:bidi="ar"/>
              </w:rPr>
            </w:pPr>
          </w:p>
        </w:tc>
      </w:tr>
    </w:tbl>
    <w:p>
      <w:pPr>
        <w:pStyle w:val="75"/>
        <w:ind w:firstLine="482"/>
        <w:rPr>
          <w:rFonts w:hint="default" w:ascii="Times New Roman" w:hAnsi="Times New Roman" w:cs="Times New Roman"/>
          <w:b/>
          <w:bCs/>
          <w:color w:val="auto"/>
        </w:rPr>
      </w:pPr>
      <w:r>
        <w:rPr>
          <w:rFonts w:hint="default" w:ascii="Times New Roman" w:hAnsi="Times New Roman" w:cs="Times New Roman"/>
          <w:b/>
          <w:bCs/>
          <w:color w:val="auto"/>
        </w:rPr>
        <w:t>3、环境空气监测</w:t>
      </w:r>
    </w:p>
    <w:p>
      <w:pPr>
        <w:pStyle w:val="75"/>
        <w:ind w:firstLine="480"/>
        <w:rPr>
          <w:rFonts w:hint="default" w:ascii="Times New Roman" w:hAnsi="Times New Roman" w:cs="Times New Roman"/>
          <w:color w:val="auto"/>
        </w:rPr>
      </w:pPr>
      <w:r>
        <w:rPr>
          <w:rFonts w:hint="default" w:ascii="Times New Roman" w:hAnsi="Times New Roman" w:cs="Times New Roman"/>
          <w:color w:val="auto"/>
        </w:rPr>
        <w:t>（1）监测点布置</w:t>
      </w:r>
    </w:p>
    <w:p>
      <w:pPr>
        <w:pStyle w:val="75"/>
        <w:ind w:firstLine="480"/>
        <w:rPr>
          <w:rFonts w:hint="default" w:ascii="Times New Roman" w:hAnsi="Times New Roman" w:cs="Times New Roman"/>
          <w:color w:val="auto"/>
        </w:rPr>
      </w:pPr>
      <w:r>
        <w:rPr>
          <w:rFonts w:hint="default" w:ascii="Times New Roman" w:hAnsi="Times New Roman" w:cs="Times New Roman"/>
          <w:color w:val="auto"/>
        </w:rPr>
        <w:t>根据工程分布，环境空气监测共布置2个点。监测点位、监测项目、监测周期、监测时段以及频率 详见表7.2-3。</w:t>
      </w:r>
    </w:p>
    <w:p>
      <w:pPr>
        <w:pStyle w:val="86"/>
        <w:spacing w:after="0" w:afterLines="0"/>
        <w:rPr>
          <w:rFonts w:hint="default" w:ascii="Times New Roman" w:hAnsi="Times New Roman" w:cs="Times New Roman"/>
          <w:color w:val="auto"/>
          <w:szCs w:val="24"/>
        </w:rPr>
      </w:pPr>
      <w:r>
        <w:rPr>
          <w:rFonts w:hint="default" w:ascii="Times New Roman" w:hAnsi="Times New Roman" w:cs="Times New Roman"/>
          <w:color w:val="auto"/>
          <w:szCs w:val="24"/>
        </w:rPr>
        <w:t xml:space="preserve">表7.2-3 </w:t>
      </w:r>
      <w:r>
        <w:rPr>
          <w:rFonts w:hint="default" w:ascii="Times New Roman" w:hAnsi="Times New Roman" w:cs="Times New Roman"/>
          <w:color w:val="auto"/>
          <w:szCs w:val="24"/>
        </w:rPr>
        <w:tab/>
      </w:r>
      <w:r>
        <w:rPr>
          <w:rFonts w:hint="default" w:ascii="Times New Roman" w:hAnsi="Times New Roman" w:cs="Times New Roman"/>
          <w:color w:val="auto"/>
          <w:szCs w:val="24"/>
        </w:rPr>
        <w:t>施工期环境空气监测点及监测技术要求一览表</w:t>
      </w:r>
    </w:p>
    <w:tbl>
      <w:tblPr>
        <w:tblStyle w:val="24"/>
        <w:tblW w:w="0" w:type="auto"/>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
      <w:tblGrid>
        <w:gridCol w:w="2689"/>
        <w:gridCol w:w="1462"/>
        <w:gridCol w:w="1940"/>
        <w:gridCol w:w="2212"/>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2689" w:type="dxa"/>
            <w:noWrap w:val="0"/>
            <w:vAlign w:val="center"/>
          </w:tcPr>
          <w:p>
            <w:pPr>
              <w:pStyle w:val="32"/>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color w:val="auto"/>
                <w:sz w:val="21"/>
                <w:szCs w:val="21"/>
                <w:lang w:bidi="ar"/>
              </w:rPr>
            </w:pPr>
            <w:r>
              <w:rPr>
                <w:rFonts w:hint="default" w:ascii="Times New Roman" w:hAnsi="Times New Roman" w:cs="Times New Roman"/>
                <w:color w:val="auto"/>
                <w:sz w:val="21"/>
                <w:szCs w:val="21"/>
                <w:lang w:bidi="ar"/>
              </w:rPr>
              <w:t>监测点位</w:t>
            </w:r>
          </w:p>
        </w:tc>
        <w:tc>
          <w:tcPr>
            <w:tcW w:w="1462" w:type="dxa"/>
            <w:noWrap w:val="0"/>
            <w:vAlign w:val="center"/>
          </w:tcPr>
          <w:p>
            <w:pPr>
              <w:pStyle w:val="32"/>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color w:val="auto"/>
                <w:sz w:val="21"/>
                <w:szCs w:val="21"/>
                <w:lang w:bidi="ar"/>
              </w:rPr>
            </w:pPr>
            <w:r>
              <w:rPr>
                <w:rFonts w:hint="default" w:ascii="Times New Roman" w:hAnsi="Times New Roman" w:cs="Times New Roman"/>
                <w:color w:val="auto"/>
                <w:sz w:val="21"/>
                <w:szCs w:val="21"/>
                <w:lang w:bidi="ar"/>
              </w:rPr>
              <w:t>监测项目</w:t>
            </w:r>
          </w:p>
        </w:tc>
        <w:tc>
          <w:tcPr>
            <w:tcW w:w="1940" w:type="dxa"/>
            <w:noWrap w:val="0"/>
            <w:vAlign w:val="center"/>
          </w:tcPr>
          <w:p>
            <w:pPr>
              <w:pStyle w:val="32"/>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color w:val="auto"/>
                <w:sz w:val="21"/>
                <w:szCs w:val="21"/>
                <w:lang w:bidi="ar"/>
              </w:rPr>
            </w:pPr>
            <w:r>
              <w:rPr>
                <w:rFonts w:hint="default" w:ascii="Times New Roman" w:hAnsi="Times New Roman" w:cs="Times New Roman"/>
                <w:color w:val="auto"/>
                <w:sz w:val="21"/>
                <w:szCs w:val="21"/>
                <w:lang w:bidi="ar"/>
              </w:rPr>
              <w:t>监测周期</w:t>
            </w:r>
          </w:p>
        </w:tc>
        <w:tc>
          <w:tcPr>
            <w:tcW w:w="2212" w:type="dxa"/>
            <w:noWrap w:val="0"/>
            <w:vAlign w:val="center"/>
          </w:tcPr>
          <w:p>
            <w:pPr>
              <w:pStyle w:val="32"/>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color w:val="auto"/>
                <w:sz w:val="21"/>
                <w:szCs w:val="21"/>
                <w:lang w:bidi="ar"/>
              </w:rPr>
            </w:pPr>
            <w:r>
              <w:rPr>
                <w:rFonts w:hint="default" w:ascii="Times New Roman" w:hAnsi="Times New Roman" w:cs="Times New Roman"/>
                <w:color w:val="auto"/>
                <w:sz w:val="21"/>
                <w:szCs w:val="21"/>
                <w:lang w:bidi="ar"/>
              </w:rPr>
              <w:t>监测时段及频率</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2689" w:type="dxa"/>
            <w:noWrap w:val="0"/>
            <w:vAlign w:val="center"/>
          </w:tcPr>
          <w:p>
            <w:pPr>
              <w:pStyle w:val="32"/>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lang w:eastAsia="zh-CN" w:bidi="ar"/>
              </w:rPr>
            </w:pPr>
            <w:r>
              <w:rPr>
                <w:rFonts w:hint="default" w:ascii="Times New Roman" w:hAnsi="Times New Roman" w:cs="Times New Roman"/>
                <w:color w:val="auto"/>
                <w:kern w:val="0"/>
                <w:sz w:val="21"/>
                <w:szCs w:val="21"/>
                <w:lang w:eastAsia="zh-CN" w:bidi="ar"/>
              </w:rPr>
              <w:t>工程起点</w:t>
            </w:r>
          </w:p>
        </w:tc>
        <w:tc>
          <w:tcPr>
            <w:tcW w:w="1462" w:type="dxa"/>
            <w:vMerge w:val="restart"/>
            <w:noWrap w:val="0"/>
            <w:vAlign w:val="center"/>
          </w:tcPr>
          <w:p>
            <w:pPr>
              <w:pStyle w:val="32"/>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color w:val="auto"/>
                <w:sz w:val="21"/>
                <w:szCs w:val="21"/>
                <w:lang w:bidi="ar"/>
              </w:rPr>
            </w:pPr>
            <w:r>
              <w:rPr>
                <w:rFonts w:hint="default" w:ascii="Times New Roman" w:hAnsi="Times New Roman" w:cs="Times New Roman"/>
                <w:color w:val="auto"/>
                <w:sz w:val="21"/>
                <w:szCs w:val="21"/>
                <w:lang w:bidi="ar"/>
              </w:rPr>
              <w:t>TSP、硫</w:t>
            </w:r>
          </w:p>
          <w:p>
            <w:pPr>
              <w:pStyle w:val="32"/>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color w:val="auto"/>
                <w:sz w:val="21"/>
                <w:szCs w:val="21"/>
                <w:lang w:bidi="ar"/>
              </w:rPr>
            </w:pPr>
            <w:r>
              <w:rPr>
                <w:rFonts w:hint="default" w:ascii="Times New Roman" w:hAnsi="Times New Roman" w:cs="Times New Roman"/>
                <w:color w:val="auto"/>
                <w:sz w:val="21"/>
                <w:szCs w:val="21"/>
                <w:lang w:bidi="ar"/>
              </w:rPr>
              <w:t>化氢、氨</w:t>
            </w:r>
          </w:p>
        </w:tc>
        <w:tc>
          <w:tcPr>
            <w:tcW w:w="1940" w:type="dxa"/>
            <w:vMerge w:val="restart"/>
            <w:noWrap w:val="0"/>
            <w:vAlign w:val="center"/>
          </w:tcPr>
          <w:p>
            <w:pPr>
              <w:pStyle w:val="32"/>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color w:val="auto"/>
                <w:sz w:val="21"/>
                <w:szCs w:val="21"/>
                <w:lang w:bidi="ar"/>
              </w:rPr>
            </w:pPr>
            <w:r>
              <w:rPr>
                <w:rFonts w:hint="default" w:ascii="Times New Roman" w:hAnsi="Times New Roman" w:cs="Times New Roman"/>
                <w:color w:val="auto"/>
                <w:sz w:val="21"/>
                <w:szCs w:val="21"/>
                <w:lang w:bidi="ar"/>
              </w:rPr>
              <w:t>施工高峰监测 1 次</w:t>
            </w:r>
          </w:p>
        </w:tc>
        <w:tc>
          <w:tcPr>
            <w:tcW w:w="2212" w:type="dxa"/>
            <w:vMerge w:val="restart"/>
            <w:noWrap w:val="0"/>
            <w:vAlign w:val="center"/>
          </w:tcPr>
          <w:p>
            <w:pPr>
              <w:pStyle w:val="32"/>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color w:val="auto"/>
                <w:sz w:val="21"/>
                <w:szCs w:val="21"/>
                <w:lang w:bidi="ar"/>
              </w:rPr>
            </w:pPr>
            <w:r>
              <w:rPr>
                <w:rFonts w:hint="default" w:ascii="Times New Roman" w:hAnsi="Times New Roman" w:cs="Times New Roman"/>
                <w:color w:val="auto"/>
                <w:sz w:val="21"/>
                <w:szCs w:val="21"/>
                <w:lang w:bidi="ar"/>
              </w:rPr>
              <w:t>连续监测7天，提供日均值</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2689" w:type="dxa"/>
            <w:noWrap w:val="0"/>
            <w:vAlign w:val="center"/>
          </w:tcPr>
          <w:p>
            <w:pPr>
              <w:pStyle w:val="87"/>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bidi="ar"/>
              </w:rPr>
            </w:pPr>
            <w:r>
              <w:rPr>
                <w:rFonts w:hint="default" w:ascii="Times New Roman" w:hAnsi="Times New Roman" w:cs="Times New Roman"/>
                <w:color w:val="auto"/>
                <w:kern w:val="0"/>
                <w:sz w:val="21"/>
                <w:szCs w:val="21"/>
                <w:lang w:eastAsia="zh-CN" w:bidi="ar"/>
              </w:rPr>
              <w:t>青盐沟</w:t>
            </w:r>
            <w:r>
              <w:rPr>
                <w:rFonts w:hint="default" w:ascii="Times New Roman" w:hAnsi="Times New Roman" w:cs="Times New Roman"/>
                <w:color w:val="auto"/>
                <w:kern w:val="0"/>
                <w:sz w:val="21"/>
                <w:szCs w:val="21"/>
                <w:lang w:bidi="ar"/>
              </w:rPr>
              <w:t>学校</w:t>
            </w:r>
          </w:p>
        </w:tc>
        <w:tc>
          <w:tcPr>
            <w:tcW w:w="1462"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c>
          <w:tcPr>
            <w:tcW w:w="1940"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c>
          <w:tcPr>
            <w:tcW w:w="2212"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r>
    </w:tbl>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（2）监测技术要求</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项目：根据施工期产生主要污染物和空气质量的控制指标，施工期周边敏感目标的主要监测项目为：TSP、硫化氢、氨。</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监测周期：施工期周边敏感目标施工期内施工高峰监测1次，每次连续监测7 天，每天监测不少于18个小时。</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 xml:space="preserve">（3）监测方法按照《环境监测技术规范》(大气部分)中规定方法执行。 </w:t>
      </w:r>
    </w:p>
    <w:p>
      <w:pPr>
        <w:pStyle w:val="75"/>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（4）资料整编及保存按照《环境监测技术规范》的相关规定执行。</w:t>
      </w:r>
    </w:p>
    <w:p>
      <w:pPr>
        <w:pStyle w:val="75"/>
        <w:spacing w:line="360" w:lineRule="auto"/>
        <w:ind w:firstLine="482"/>
        <w:rPr>
          <w:rFonts w:hint="default" w:ascii="Times New Roman" w:hAnsi="Times New Roman" w:cs="Times New Roman"/>
          <w:b/>
          <w:bCs/>
          <w:color w:val="auto"/>
          <w:szCs w:val="22"/>
        </w:rPr>
      </w:pPr>
      <w:r>
        <w:rPr>
          <w:rFonts w:hint="default" w:ascii="Times New Roman" w:hAnsi="Times New Roman" w:cs="Times New Roman"/>
          <w:b/>
          <w:bCs/>
          <w:color w:val="auto"/>
          <w:szCs w:val="22"/>
        </w:rPr>
        <w:t>4、声环境监测</w:t>
      </w:r>
    </w:p>
    <w:p>
      <w:pPr>
        <w:pStyle w:val="75"/>
        <w:spacing w:line="360" w:lineRule="auto"/>
        <w:ind w:firstLine="480"/>
        <w:rPr>
          <w:rFonts w:hint="default" w:ascii="Times New Roman" w:hAnsi="Times New Roman" w:cs="Times New Roman"/>
          <w:color w:val="auto"/>
          <w:szCs w:val="22"/>
        </w:rPr>
      </w:pPr>
      <w:r>
        <w:rPr>
          <w:rFonts w:hint="default" w:ascii="Times New Roman" w:hAnsi="Times New Roman" w:cs="Times New Roman"/>
          <w:color w:val="auto"/>
          <w:szCs w:val="22"/>
        </w:rPr>
        <w:t>（1）监测点布置：</w:t>
      </w:r>
    </w:p>
    <w:p>
      <w:pPr>
        <w:pStyle w:val="75"/>
        <w:ind w:firstLine="480"/>
        <w:rPr>
          <w:rFonts w:hint="default" w:ascii="Times New Roman" w:hAnsi="Times New Roman" w:eastAsia="宋体" w:cs="Times New Roman"/>
          <w:color w:val="auto"/>
          <w:szCs w:val="22"/>
          <w:lang w:eastAsia="zh-CN"/>
        </w:rPr>
      </w:pPr>
      <w:r>
        <w:rPr>
          <w:rFonts w:hint="default" w:ascii="Times New Roman" w:hAnsi="Times New Roman" w:cs="Times New Roman"/>
          <w:color w:val="auto"/>
          <w:szCs w:val="22"/>
        </w:rPr>
        <w:t>声环境监测共布置3个点，</w:t>
      </w:r>
      <w:r>
        <w:rPr>
          <w:rFonts w:hint="default" w:ascii="Times New Roman" w:hAnsi="Times New Roman" w:cs="Times New Roman"/>
          <w:color w:val="auto"/>
          <w:szCs w:val="22"/>
          <w:lang w:eastAsia="zh-CN"/>
        </w:rPr>
        <w:t>具体见下表。</w:t>
      </w:r>
    </w:p>
    <w:p>
      <w:pPr>
        <w:pStyle w:val="75"/>
        <w:ind w:firstLine="480"/>
        <w:rPr>
          <w:rFonts w:hint="default" w:ascii="Times New Roman" w:hAnsi="Times New Roman" w:cs="Times New Roman"/>
          <w:color w:val="auto"/>
          <w:szCs w:val="22"/>
        </w:rPr>
      </w:pPr>
    </w:p>
    <w:p>
      <w:pPr>
        <w:pStyle w:val="75"/>
        <w:ind w:firstLine="480"/>
        <w:rPr>
          <w:rFonts w:hint="default" w:ascii="Times New Roman" w:hAnsi="Times New Roman" w:cs="Times New Roman"/>
          <w:color w:val="auto"/>
          <w:szCs w:val="22"/>
        </w:rPr>
      </w:pPr>
      <w:r>
        <w:rPr>
          <w:rFonts w:hint="default" w:ascii="Times New Roman" w:hAnsi="Times New Roman" w:cs="Times New Roman"/>
          <w:color w:val="auto"/>
          <w:szCs w:val="22"/>
        </w:rPr>
        <w:t>（2）监测技术要求</w:t>
      </w:r>
    </w:p>
    <w:p>
      <w:pPr>
        <w:pStyle w:val="75"/>
        <w:spacing w:line="360" w:lineRule="auto"/>
        <w:ind w:firstLine="480"/>
        <w:rPr>
          <w:rFonts w:hint="default" w:ascii="Times New Roman" w:hAnsi="Times New Roman" w:cs="Times New Roman"/>
          <w:color w:val="auto"/>
          <w:szCs w:val="22"/>
        </w:rPr>
      </w:pPr>
      <w:r>
        <w:rPr>
          <w:rFonts w:hint="default" w:ascii="Times New Roman" w:hAnsi="Times New Roman" w:cs="Times New Roman"/>
          <w:color w:val="auto"/>
          <w:szCs w:val="22"/>
        </w:rPr>
        <w:t>监测项目：昼间和夜间等效声级监测频率：施工期内分布均匀每个监测点监测4次，每次2天，每天24小时昼夜等效声级。</w:t>
      </w:r>
    </w:p>
    <w:p>
      <w:pPr>
        <w:pStyle w:val="75"/>
        <w:spacing w:line="360" w:lineRule="auto"/>
        <w:ind w:firstLine="480"/>
        <w:rPr>
          <w:rFonts w:hint="default" w:ascii="Times New Roman" w:hAnsi="Times New Roman" w:cs="Times New Roman"/>
          <w:color w:val="auto"/>
          <w:szCs w:val="22"/>
        </w:rPr>
      </w:pPr>
      <w:r>
        <w:rPr>
          <w:rFonts w:hint="default" w:ascii="Times New Roman" w:hAnsi="Times New Roman" w:cs="Times New Roman"/>
          <w:color w:val="auto"/>
          <w:szCs w:val="22"/>
        </w:rPr>
        <w:t>（3）监测方法按照《环境监测技术规范》(噪声部分)中规定监测方法执行。</w:t>
      </w:r>
    </w:p>
    <w:p>
      <w:pPr>
        <w:pStyle w:val="75"/>
        <w:spacing w:line="360" w:lineRule="auto"/>
        <w:ind w:firstLine="480"/>
        <w:rPr>
          <w:rFonts w:hint="default" w:ascii="Times New Roman" w:hAnsi="Times New Roman" w:cs="Times New Roman"/>
          <w:color w:val="auto"/>
          <w:szCs w:val="22"/>
        </w:rPr>
      </w:pPr>
      <w:r>
        <w:rPr>
          <w:rFonts w:hint="default" w:ascii="Times New Roman" w:hAnsi="Times New Roman" w:cs="Times New Roman"/>
          <w:color w:val="auto"/>
          <w:szCs w:val="22"/>
        </w:rPr>
        <w:t>（4）资料整编及保存按《环境监测技术规范》的相关规定执行。</w:t>
      </w:r>
    </w:p>
    <w:p>
      <w:pPr>
        <w:pStyle w:val="62"/>
        <w:ind w:firstLine="482"/>
        <w:rPr>
          <w:rFonts w:hint="default" w:ascii="Times New Roman" w:hAnsi="Times New Roman" w:cs="Times New Roman"/>
          <w:b/>
          <w:bCs/>
          <w:color w:val="auto"/>
        </w:rPr>
      </w:pPr>
      <w:r>
        <w:rPr>
          <w:rFonts w:hint="default" w:ascii="Times New Roman" w:hAnsi="Times New Roman" w:cs="Times New Roman"/>
          <w:b/>
          <w:bCs/>
          <w:color w:val="auto"/>
        </w:rPr>
        <w:t>5、水土流失监测</w:t>
      </w:r>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本项目水土保持监测内容包括</w:t>
      </w:r>
      <w:bookmarkStart w:id="66" w:name="_Hlk6776738"/>
      <w:r>
        <w:rPr>
          <w:rFonts w:hint="default" w:ascii="Times New Roman" w:hAnsi="Times New Roman" w:cs="Times New Roman"/>
          <w:color w:val="auto"/>
        </w:rPr>
        <w:t>水土流失影响因素、水土流失状况、水土流失危害和水土保持措施等</w:t>
      </w:r>
      <w:bookmarkEnd w:id="66"/>
      <w:r>
        <w:rPr>
          <w:rFonts w:hint="default" w:ascii="Times New Roman" w:hAnsi="Times New Roman" w:cs="Times New Roman"/>
          <w:color w:val="auto"/>
        </w:rPr>
        <w:t>。具体以项目水土保持方案执行。</w:t>
      </w:r>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水土保持监测站点的布设根据上述原则及考虑主体工程施工特点、扰动地表面积和特征、涉及的水土流失不同类型、扰动开挖和堆积形态、植被状况、水土 保持设施及其布局，以及交通、通信等条件综合确定。</w:t>
      </w:r>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本项目</w:t>
      </w:r>
      <w:bookmarkStart w:id="67" w:name="_Hlk6776804"/>
      <w:r>
        <w:rPr>
          <w:rFonts w:hint="default" w:ascii="Times New Roman" w:hAnsi="Times New Roman" w:cs="Times New Roman"/>
          <w:color w:val="auto"/>
        </w:rPr>
        <w:t>水土保持监测点位共计布设11个，包括水系连通区1个监测点，河道清障区1个监测点，清淤疏浚区1个监测点，岸坡整治区2个监测点，人工生态湿地区2个监测点，</w:t>
      </w:r>
      <w:r>
        <w:rPr>
          <w:rFonts w:hint="default" w:ascii="Times New Roman" w:hAnsi="Times New Roman" w:cs="Times New Roman"/>
          <w:color w:val="auto"/>
          <w:lang w:eastAsia="zh-CN"/>
        </w:rPr>
        <w:t>施工便道</w:t>
      </w:r>
      <w:r>
        <w:rPr>
          <w:rFonts w:hint="default" w:ascii="Times New Roman" w:hAnsi="Times New Roman" w:cs="Times New Roman"/>
          <w:color w:val="auto"/>
        </w:rPr>
        <w:t>区1个监测点，</w:t>
      </w:r>
      <w:r>
        <w:rPr>
          <w:rFonts w:hint="default" w:ascii="Times New Roman" w:hAnsi="Times New Roman" w:cs="Times New Roman"/>
          <w:color w:val="auto"/>
          <w:lang w:eastAsia="zh-CN"/>
        </w:rPr>
        <w:t>施工区</w:t>
      </w:r>
      <w:r>
        <w:rPr>
          <w:rFonts w:hint="default" w:ascii="Times New Roman" w:hAnsi="Times New Roman" w:cs="Times New Roman"/>
          <w:color w:val="auto"/>
        </w:rPr>
        <w:t>1个监测点</w:t>
      </w:r>
      <w:bookmarkEnd w:id="67"/>
      <w:r>
        <w:rPr>
          <w:rFonts w:hint="default" w:ascii="Times New Roman" w:hAnsi="Times New Roman" w:cs="Times New Roman"/>
          <w:color w:val="auto"/>
        </w:rPr>
        <w:t>，临时堆料场区1个监测点，临时表土堆场区1个监测点。</w:t>
      </w:r>
    </w:p>
    <w:p>
      <w:pPr>
        <w:pStyle w:val="62"/>
        <w:ind w:firstLine="482"/>
        <w:rPr>
          <w:rFonts w:hint="default" w:ascii="Times New Roman" w:hAnsi="Times New Roman" w:cs="Times New Roman"/>
          <w:b/>
          <w:bCs/>
          <w:color w:val="auto"/>
        </w:rPr>
      </w:pPr>
      <w:r>
        <w:rPr>
          <w:rFonts w:hint="default" w:ascii="Times New Roman" w:hAnsi="Times New Roman" w:cs="Times New Roman"/>
          <w:b/>
          <w:bCs/>
          <w:color w:val="auto"/>
        </w:rPr>
        <w:t>6、生态监测</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（1） 水生生态监测</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监测位置：</w:t>
      </w:r>
      <w:r>
        <w:rPr>
          <w:rFonts w:hint="default" w:ascii="Times New Roman" w:hAnsi="Times New Roman" w:cs="Times New Roman"/>
          <w:color w:val="auto"/>
          <w:lang w:eastAsia="zh-CN"/>
        </w:rPr>
        <w:t>东河水体、青盐沟</w:t>
      </w:r>
      <w:r>
        <w:rPr>
          <w:rFonts w:hint="default" w:ascii="Times New Roman" w:hAnsi="Times New Roman" w:cs="Times New Roman"/>
          <w:color w:val="auto"/>
        </w:rPr>
        <w:t>水体，共</w:t>
      </w:r>
      <w:r>
        <w:rPr>
          <w:rFonts w:hint="default" w:ascii="Times New Roman" w:hAnsi="Times New Roman" w:cs="Times New Roman"/>
          <w:color w:val="auto"/>
          <w:lang w:val="en-US" w:eastAsia="zh-CN"/>
        </w:rPr>
        <w:t>2</w:t>
      </w:r>
      <w:r>
        <w:rPr>
          <w:rFonts w:hint="default" w:ascii="Times New Roman" w:hAnsi="Times New Roman" w:cs="Times New Roman"/>
          <w:color w:val="auto"/>
        </w:rPr>
        <w:t>个调查（监测）点位。</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监测时间及频率：从施工开始至完工后一年，每年监测2次，5月份一次，10月份一次。</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监测内容：底栖动物、浮游动物、浮游植物、鱼类等水生生物种类、数量、分布等，对于鱼类的调查还包括渔获量的记录。</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 xml:space="preserve">（2）陆生生态监测 </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对施工影响区域野生动植物进行监测，植被监测内容是植物物种、存活率、密度和覆盖度，对野生动物的种类、密度进行定点观测，调查（监测）项目包括： 生态系统完整性、植物多样性、动物多样性、生物量、生产力。植物每半年监测一次，工程完成后继续观测1年。动物年观测2次。开展湖区鸟类监测，每半年开展一次且候鸟迁徙季节必须观测并记录。</w:t>
      </w:r>
    </w:p>
    <w:p>
      <w:pPr>
        <w:pStyle w:val="5"/>
        <w:keepNext/>
        <w:keepLines/>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color w:val="auto"/>
          <w:sz w:val="24"/>
          <w:szCs w:val="28"/>
          <w:lang w:val="en-US" w:eastAsia="zh-CN"/>
        </w:rPr>
      </w:pPr>
      <w:bookmarkStart w:id="68" w:name="_Toc20050"/>
      <w:r>
        <w:rPr>
          <w:rFonts w:hint="default" w:ascii="Times New Roman" w:hAnsi="Times New Roman" w:cs="Times New Roman"/>
          <w:color w:val="auto"/>
          <w:sz w:val="24"/>
          <w:szCs w:val="28"/>
          <w:lang w:val="en-US" w:eastAsia="zh-CN"/>
        </w:rPr>
        <w:t>8.8.2.2营运期监测计划</w:t>
      </w:r>
      <w:bookmarkEnd w:id="68"/>
    </w:p>
    <w:p>
      <w:pPr>
        <w:pStyle w:val="62"/>
        <w:ind w:firstLine="482"/>
        <w:rPr>
          <w:rFonts w:hint="default" w:ascii="Times New Roman" w:hAnsi="Times New Roman" w:cs="Times New Roman"/>
          <w:b/>
          <w:bCs/>
          <w:color w:val="auto"/>
        </w:rPr>
      </w:pPr>
      <w:r>
        <w:rPr>
          <w:rFonts w:hint="default" w:ascii="Times New Roman" w:hAnsi="Times New Roman" w:cs="Times New Roman"/>
          <w:b/>
          <w:bCs/>
          <w:color w:val="auto"/>
          <w:lang w:val="en-US" w:eastAsia="zh-CN"/>
        </w:rPr>
        <w:t>1</w:t>
      </w:r>
      <w:r>
        <w:rPr>
          <w:rFonts w:hint="default" w:ascii="Times New Roman" w:hAnsi="Times New Roman" w:cs="Times New Roman"/>
          <w:b/>
          <w:bCs/>
          <w:color w:val="auto"/>
        </w:rPr>
        <w:t>、陆生生态调查</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 xml:space="preserve">（1）调查区域 </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结合工程建设特点及环境影响分析结论，对施工影响区域野生动植物进行监测，分布在岸边按照典型性、代表性原则设置调查点。</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（2）调查频次</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工程运行后第一年调查1次，每次调查时间1~2个月。</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（3）技术要求</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①样线调查：沿着固定样线调查植物的垂直和水平分布、植物物种，统计兽类、鸟类、两栖类和爬行类的物种及出现频率；</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②样方调查：对于植物样方，主要调查植物种类、冠幅、胸径、枝下高、物侯相、盖度、多度、密度、叶层高度等；对于两栖类动物调查，主要采用抓捕方式调查两栖类动物种类、数量和分布特征；</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③调查访问：由于样方和样线调查不能覆盖全部工作范围，为了对评价区域有更深入的了解和挖掘，可通过访问当地居民、餐馆、集市等方法对调查结果进行修正。</w:t>
      </w:r>
    </w:p>
    <w:p>
      <w:pPr>
        <w:pStyle w:val="62"/>
        <w:ind w:firstLine="482"/>
        <w:rPr>
          <w:rFonts w:hint="default" w:ascii="Times New Roman" w:hAnsi="Times New Roman" w:cs="Times New Roman"/>
          <w:b/>
          <w:bCs/>
          <w:color w:val="auto"/>
        </w:rPr>
      </w:pPr>
      <w:r>
        <w:rPr>
          <w:rFonts w:hint="default" w:ascii="Times New Roman" w:hAnsi="Times New Roman" w:cs="Times New Roman"/>
          <w:b/>
          <w:bCs/>
          <w:color w:val="auto"/>
          <w:lang w:val="en-US" w:eastAsia="zh-CN"/>
        </w:rPr>
        <w:t>2</w:t>
      </w:r>
      <w:r>
        <w:rPr>
          <w:rFonts w:hint="default" w:ascii="Times New Roman" w:hAnsi="Times New Roman" w:cs="Times New Roman"/>
          <w:b/>
          <w:bCs/>
          <w:color w:val="auto"/>
        </w:rPr>
        <w:t>、水生生态调查</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 xml:space="preserve">（1）调查范围 </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项目区全部河流及主要支流。按照典型性、代表性原则在水域分别布设调查点。</w:t>
      </w:r>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（2）调查时间和频次</w:t>
      </w:r>
    </w:p>
    <w:p>
      <w:pPr>
        <w:pStyle w:val="62"/>
        <w:spacing w:line="360" w:lineRule="auto"/>
        <w:ind w:firstLine="720" w:firstLineChars="300"/>
        <w:rPr>
          <w:rFonts w:hint="default" w:ascii="Times New Roman" w:hAnsi="Times New Roman" w:cs="Times New Roman"/>
          <w:color w:val="auto"/>
        </w:rPr>
      </w:pPr>
      <w:r>
        <w:rPr>
          <w:rFonts w:hint="default" w:ascii="Times New Roman" w:hAnsi="Times New Roman" w:cs="Times New Roman"/>
          <w:color w:val="auto"/>
        </w:rPr>
        <w:t>工程运行后第一年调查1次，每次调查时间 1~2 个月。为掌握项目建设及运行期对生态环境的影响，拟对项目起点至终点河段进行水生生态调查监测。在项目施工阶段、运营第1、3年每年分别调查2次，第5年、7年分别调查1次，共6次。主要调查鱼类及水生生物的分布情况及资源量的变化情况，鱼类监测地点的断面设置主要根据水体涨落程度、水体变化动态等综合考虑。初步考虑在本报报告设置的监测断面，每年的调查时段为5月和12月。</w:t>
      </w:r>
    </w:p>
    <w:p>
      <w:pPr>
        <w:pStyle w:val="62"/>
        <w:spacing w:line="360" w:lineRule="auto"/>
        <w:ind w:firstLine="48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w:t>
      </w:r>
      <w:r>
        <w:rPr>
          <w:rFonts w:hint="default" w:ascii="Times New Roman" w:hAnsi="Times New Roman" w:cs="Times New Roman"/>
          <w:color w:val="auto"/>
          <w:lang w:eastAsia="zh-CN"/>
        </w:rPr>
        <w:t>）</w:t>
      </w:r>
      <w:r>
        <w:rPr>
          <w:rFonts w:hint="default" w:ascii="Times New Roman" w:hAnsi="Times New Roman" w:cs="Times New Roman"/>
          <w:color w:val="auto"/>
        </w:rPr>
        <w:t>主要监测内容如下：</w:t>
      </w:r>
    </w:p>
    <w:p>
      <w:pPr>
        <w:pStyle w:val="62"/>
        <w:spacing w:line="360" w:lineRule="auto"/>
        <w:ind w:firstLine="720" w:firstLineChars="300"/>
        <w:rPr>
          <w:rFonts w:hint="default" w:ascii="Times New Roman" w:hAnsi="Times New Roman" w:cs="Times New Roman"/>
          <w:color w:val="auto"/>
        </w:rPr>
      </w:pPr>
      <w:r>
        <w:rPr>
          <w:rFonts w:hint="default" w:ascii="Times New Roman" w:hAnsi="Times New Roman" w:cs="Times New Roman"/>
          <w:color w:val="auto"/>
        </w:rPr>
        <w:t>1）监测项目所在河段鱼类等水生生物资源种群的变化，鱼类组成及变化等；</w:t>
      </w:r>
    </w:p>
    <w:p>
      <w:pPr>
        <w:pStyle w:val="62"/>
        <w:ind w:firstLine="720" w:firstLineChars="300"/>
        <w:rPr>
          <w:rFonts w:hint="default" w:ascii="Times New Roman" w:hAnsi="Times New Roman" w:cs="Times New Roman"/>
          <w:color w:val="auto"/>
        </w:rPr>
      </w:pPr>
      <w:r>
        <w:rPr>
          <w:rFonts w:hint="default" w:ascii="Times New Roman" w:hAnsi="Times New Roman" w:cs="Times New Roman"/>
          <w:color w:val="auto"/>
        </w:rPr>
        <w:t>2）监测项目下游影响河段鱼类等水生生物资源种群的变化，鱼类组成及变化；</w:t>
      </w:r>
    </w:p>
    <w:p>
      <w:pPr>
        <w:pStyle w:val="62"/>
        <w:ind w:firstLine="720" w:firstLineChars="300"/>
        <w:rPr>
          <w:rFonts w:hint="default" w:ascii="Times New Roman" w:hAnsi="Times New Roman" w:cs="Times New Roman"/>
          <w:color w:val="auto"/>
        </w:rPr>
      </w:pPr>
      <w:r>
        <w:rPr>
          <w:rFonts w:hint="default" w:ascii="Times New Roman" w:hAnsi="Times New Roman" w:cs="Times New Roman"/>
          <w:color w:val="auto"/>
        </w:rPr>
        <w:t>3）监测项目下游河段水质情况；</w:t>
      </w:r>
    </w:p>
    <w:p>
      <w:pPr>
        <w:pStyle w:val="62"/>
        <w:ind w:firstLine="720" w:firstLineChars="300"/>
        <w:rPr>
          <w:rFonts w:hint="default" w:ascii="Times New Roman" w:hAnsi="Times New Roman" w:eastAsia="宋体" w:cs="Times New Roman"/>
          <w:color w:val="auto"/>
          <w:lang w:eastAsia="zh-CN"/>
        </w:rPr>
      </w:pPr>
      <w:r>
        <w:rPr>
          <w:rFonts w:hint="default" w:ascii="Times New Roman" w:hAnsi="Times New Roman" w:cs="Times New Roman"/>
          <w:color w:val="auto"/>
        </w:rPr>
        <w:t>4）实施生态水下泄流量之后的水环境监测</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（3）技术要求</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①对于水生植物、水生浮游动物、底栖动物而言，主要调查区系组成及特点， 种类密度及生物量；</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②对于鱼类的调查，主要是调查本项目区的鱼类区系组成及其分布特点、种群数量和渔获量等内容。</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（4）调查方法</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按照《水库渔业资源调查规范》（SL167-</w:t>
      </w:r>
      <w:r>
        <w:rPr>
          <w:rFonts w:hint="default" w:ascii="Times New Roman" w:hAnsi="Times New Roman" w:cs="Times New Roman"/>
          <w:color w:val="auto"/>
          <w:lang w:val="en-US" w:eastAsia="zh-CN"/>
        </w:rPr>
        <w:t>2014</w:t>
      </w:r>
      <w:r>
        <w:rPr>
          <w:rFonts w:hint="default" w:ascii="Times New Roman" w:hAnsi="Times New Roman" w:cs="Times New Roman"/>
          <w:color w:val="auto"/>
        </w:rPr>
        <w:t>）和《内陆水域渔业自然资源调查规范》的规定进行调查。</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5</w:t>
      </w:r>
      <w:r>
        <w:rPr>
          <w:rFonts w:hint="default" w:ascii="Times New Roman" w:hAnsi="Times New Roman" w:cs="Times New Roman"/>
          <w:color w:val="auto"/>
        </w:rPr>
        <w:t>）</w:t>
      </w:r>
      <w:r>
        <w:rPr>
          <w:rFonts w:hint="default" w:ascii="Times New Roman" w:hAnsi="Times New Roman" w:cs="Times New Roman"/>
          <w:color w:val="auto"/>
          <w:lang w:val="en-US" w:eastAsia="zh-CN"/>
        </w:rPr>
        <w:t>水生态</w:t>
      </w:r>
      <w:r>
        <w:rPr>
          <w:rFonts w:hint="default" w:ascii="Times New Roman" w:hAnsi="Times New Roman" w:cs="Times New Roman"/>
          <w:color w:val="auto"/>
        </w:rPr>
        <w:t>监测</w:t>
      </w:r>
    </w:p>
    <w:p>
      <w:pPr>
        <w:pStyle w:val="62"/>
        <w:ind w:firstLine="480"/>
        <w:rPr>
          <w:rFonts w:hint="default" w:ascii="Times New Roman" w:hAnsi="Times New Roman" w:cs="Times New Roman"/>
          <w:color w:val="auto"/>
          <w:lang w:val="en-US" w:eastAsia="zh-CN"/>
        </w:rPr>
      </w:pPr>
      <w:r>
        <w:rPr>
          <w:rFonts w:hint="default" w:ascii="Times New Roman" w:hAnsi="Times New Roman" w:cs="Times New Roman"/>
          <w:color w:val="auto"/>
        </w:rPr>
        <w:t>由于该项监测专业性强，应由有资质的专业机构对其进行监测，监测按照《内陆水域渔业自然资源调查手册》的方法进行。但考虑到该区域不属于主要河流，鱼类资源本身就比较少，项目监测人员可聘请1-2名具备生态专业研究生学习背景的人员完成。承担单位应及时将监测结果反馈到管理部门，以便及时安排和调整保护工作。业主方应配合渔政部门的监督，并对运行人员和沿岸居民进行鱼类保护的宣传工作</w:t>
      </w:r>
      <w:r>
        <w:rPr>
          <w:rFonts w:hint="default" w:ascii="Times New Roman" w:hAnsi="Times New Roman" w:cs="Times New Roman"/>
          <w:color w:val="auto"/>
          <w:lang w:val="en-US" w:eastAsia="zh-CN"/>
        </w:rPr>
        <w:t>.</w:t>
      </w:r>
    </w:p>
    <w:p>
      <w:pPr>
        <w:pStyle w:val="62"/>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111</w:t>
      </w:r>
    </w:p>
    <w:p>
      <w:pPr>
        <w:pStyle w:val="5"/>
        <w:keepNext/>
        <w:keepLines/>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color w:val="auto"/>
          <w:sz w:val="24"/>
          <w:szCs w:val="28"/>
          <w:lang w:val="en-US" w:eastAsia="zh-CN"/>
        </w:rPr>
      </w:pPr>
      <w:bookmarkStart w:id="69" w:name="_Toc31246"/>
      <w:bookmarkStart w:id="70" w:name="_Toc25920"/>
      <w:bookmarkStart w:id="71" w:name="_Toc475004292"/>
      <w:r>
        <w:rPr>
          <w:rFonts w:hint="default" w:ascii="Times New Roman" w:hAnsi="Times New Roman" w:cs="Times New Roman"/>
          <w:color w:val="auto"/>
          <w:sz w:val="24"/>
          <w:szCs w:val="28"/>
          <w:lang w:val="en-US" w:eastAsia="zh-CN"/>
        </w:rPr>
        <w:t>8.8.3环境监理</w:t>
      </w:r>
      <w:bookmarkEnd w:id="69"/>
      <w:bookmarkEnd w:id="70"/>
    </w:p>
    <w:p>
      <w:pPr>
        <w:pStyle w:val="5"/>
        <w:keepNext/>
        <w:keepLines/>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color w:val="auto"/>
          <w:sz w:val="24"/>
          <w:szCs w:val="28"/>
          <w:lang w:val="en-US" w:eastAsia="zh-CN"/>
        </w:rPr>
      </w:pPr>
      <w:bookmarkStart w:id="72" w:name="_Toc22058"/>
      <w:r>
        <w:rPr>
          <w:rFonts w:hint="default" w:ascii="Times New Roman" w:hAnsi="Times New Roman" w:cs="Times New Roman"/>
          <w:color w:val="auto"/>
          <w:sz w:val="24"/>
          <w:szCs w:val="28"/>
          <w:lang w:val="en-US" w:eastAsia="zh-CN"/>
        </w:rPr>
        <w:t>8.8.31.1监理目的和任务</w:t>
      </w:r>
      <w:bookmarkEnd w:id="72"/>
    </w:p>
    <w:p>
      <w:pPr>
        <w:pStyle w:val="62"/>
        <w:ind w:firstLine="480"/>
        <w:rPr>
          <w:rFonts w:hint="default" w:ascii="Times New Roman" w:hAnsi="Times New Roman" w:cs="Times New Roman"/>
          <w:color w:val="auto"/>
        </w:rPr>
      </w:pPr>
      <w:r>
        <w:rPr>
          <w:rFonts w:hint="default" w:ascii="Times New Roman" w:hAnsi="Times New Roman" w:cs="Times New Roman"/>
          <w:color w:val="auto"/>
        </w:rPr>
        <w:t>由具有监理资质的单位承担，依照合同条款及国家环境保护法律、法规、政策要求，根据环境监测数据及巡查结果，监督、审查和评估施工单位各项环保措施执行情况；及时发现、纠正违反合同环保条款及国家环保要求的施工行为。工程建设环境监理是工程监理的重要组成部分，贯穿工程建设全过程。工程建设环境监理工作的主要目的是落实本工程环境影响报告书中所提出的各项环保措施，将工程施工和移民安置活动产生的不利影响降低到可接受的程度。工程建设环境监理的任务包括：</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（1）质量控制：按照国家或地方环境标准和招标文件中的环境保护条款，监督检查本项目工程建设和移民安置的环境保护工作。</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（2）信息管理：及时了解和收集掌握施工区和移民安置区的各类环境信息，并对信息进行分类、反馈、处理和储存管理，便于监理决策和协调工程建设各有关参与方的环境保护工作。</w:t>
      </w:r>
    </w:p>
    <w:p>
      <w:pPr>
        <w:pStyle w:val="62"/>
        <w:numPr>
          <w:ilvl w:val="0"/>
          <w:numId w:val="10"/>
        </w:numPr>
        <w:ind w:firstLine="480" w:firstLineChars="0"/>
        <w:rPr>
          <w:rFonts w:hint="default" w:ascii="Times New Roman" w:hAnsi="Times New Roman" w:cs="Times New Roman"/>
          <w:color w:val="auto"/>
        </w:rPr>
      </w:pPr>
      <w:r>
        <w:rPr>
          <w:rFonts w:hint="default" w:ascii="Times New Roman" w:hAnsi="Times New Roman" w:cs="Times New Roman"/>
          <w:color w:val="auto"/>
        </w:rPr>
        <w:t>组织协调工作：协调业主与承包商、业主、设计单位与工程建设各有关部门之间的关系。</w:t>
      </w:r>
    </w:p>
    <w:p>
      <w:pPr>
        <w:pStyle w:val="6"/>
        <w:rPr>
          <w:rFonts w:hint="default" w:ascii="Times New Roman" w:hAnsi="Times New Roman" w:cs="Times New Roman"/>
          <w:color w:val="auto"/>
        </w:rPr>
      </w:pPr>
      <w:r>
        <w:rPr>
          <w:rFonts w:hint="default" w:ascii="Times New Roman" w:hAnsi="Times New Roman" w:cs="Times New Roman"/>
          <w:color w:val="auto"/>
        </w:rPr>
        <w:t>环境监理机构设置方案</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 xml:space="preserve">（1）环境监理范围 </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本工程施工区环境监理范围包括进场交通道路、场内交通道路和施工现场、作业区域等。</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（2）环境监理工程师的岗位职责</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1) 受业主委托，环境监理工程师全面负责监督、检查工程施工区的环境保护工作。</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2) 环境监理人员有参加审查会议的资格，就承包商提出的施工组织设计、施工技术方案和施工进度计划提出环保方面的意见，以保证环保设施的落实和工程的顺利进行。</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3) 审查承包商提出的可能造成污染的材料和设备清单及所列的环保指标，审查承包商提交的环境月报。</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4) 参加工程阶段验收和竣工验收。对承包商施工过程及竣工后的现场就环境保护的内容进行监督与检查。工程质量认可包括环境质量认可，单项工程的验收，凡与环保有关的必须由环境监理工程师签字。</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5) 对承包商的环境季报、年报进行审查，提出审查、修改意见；对检查中发现的环境问题，以整改通知单的形式下发给承包商，要求限期处理。</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6) 编制工程建设环境监理工作月报和年报，送工程建设环境管理机构，对环境监理工作进行总结，提出存在的重大环境问题和解决问题的建议，说明今后工程建设环境监理工作安排和工作重点，并整理归档有关资料。</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7) 环境监理工程师有权反对并要求承包商立即更换由承包商确认的而环境监理工程师认为是渎职者、或不能胜任环保工作或玩忽职守的环境管理人员。</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 xml:space="preserve">（3） 环境监理方式 </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环境监理依照国家及地方有关环境保护法律、法规、工程设计文件和工程承包合同对承包商进行监理。根据施工区环境状况和工程特点，监理工作方式以巡视为主，辅以必要的仪器监测，日常巡视是环境监理的主要工作方式。根据施工区污染源分布情况，环境监理工程师定期对施工作业现场进行巡视，发现环境污染问题，首先口头通知承包商环境管理员限期处理，后以书面函件形式予以确认。对要求限期整改的环境问题，环境监理工作师按期进行检查验收，并将检查结果形成检查纪要下发给施工承包商。</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（4）环境监理工作内容</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1）生产废水处理：对工程建设中各项生产废水处理措施进行监督检查，确保承包商及各施工单位排出的生产废水沉淀后回用不排放。</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2）生活污水处理：监理工程师要监督承包商采取处理措施，</w:t>
      </w:r>
      <w:r>
        <w:rPr>
          <w:rFonts w:hint="default" w:ascii="Times New Roman" w:hAnsi="Times New Roman" w:cs="Times New Roman"/>
          <w:color w:val="auto"/>
          <w:lang w:eastAsia="zh-CN"/>
        </w:rPr>
        <w:t>确保</w:t>
      </w:r>
      <w:r>
        <w:rPr>
          <w:rFonts w:hint="default" w:ascii="Times New Roman" w:hAnsi="Times New Roman" w:cs="Times New Roman"/>
          <w:color w:val="auto"/>
        </w:rPr>
        <w:t>生活污水</w:t>
      </w:r>
      <w:r>
        <w:rPr>
          <w:rFonts w:hint="default" w:ascii="Times New Roman" w:hAnsi="Times New Roman" w:cs="Times New Roman"/>
          <w:color w:val="auto"/>
          <w:lang w:eastAsia="zh-CN"/>
        </w:rPr>
        <w:t>不外排</w:t>
      </w:r>
      <w:r>
        <w:rPr>
          <w:rFonts w:hint="default" w:ascii="Times New Roman" w:hAnsi="Times New Roman" w:cs="Times New Roman"/>
          <w:color w:val="auto"/>
        </w:rPr>
        <w:t>。</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3）生活垃圾处理：对于施工区生活垃圾处理，监理工程师应要求承包商处置好一切设备和多余的材料。竣工时应要求承包商从现场清除运走所有废料、垃圾、拆除和清理临时工程，保持移交工程及工程所在现场清洁整齐。</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4）大气污染治理：监理工程师应要求承包商及各施工单位在装运淤泥、垃圾等一切易扬尘的车辆时，必须覆盖封闭，防止运输扬尘污染。对道路产生的扬尘，应要求采取定期洒水措施。各种燃油机械必须装置消烟除尘设备。</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5）噪声控制：对于产生强噪声或振动的施工单位，监理工程师必须要求采取减噪降振措施，选用低噪弱振设备和工艺。对接触移动噪声源如钻机、振动碾等的施工作业人员，必须发放和要求佩带耳塞等隔音器具。对于在靠近生活营地和居民区的施工单位，必须要求其合理安排作息时间，减少和避免噪声扰民，并妥善解决由 此而产生的纠纷，负担相应的责任。</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6）生态保护：工程施工建设过程中，需要重点做好生态环境保护工作；对于机械车辆保持良好行驶及使用状态，减少施工噪声及机械尾气的影响；合理安排作业时间，施工高峰尽量避开鸟类繁殖期和迁徙期等。</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7）维护施工人员的安全健康：为保护现场施工人员的安全，监理工程师应重点检查如下内容：在承包商的安全管理体系中，是否在工地人员中设一名或多名专门负责生产和防止事故的人员；要求承包商采取适当预防措施以保证其职员与工人的安全，并应与当地疾病控制中心协作，按其要求在整个合同的执行期间自始至终在生活营地和工地确保配有医务人员、急救设备、备用品、病房及适用的救护设施，并应采取适当的措施以预防传染病；承包商应遵守当地疾病控制中心一切有关规定，施工人员进场前对所有建在现场的房屋进行卫生清理与卫生消毒，施工人员进场后定期进行消毒、灭蚊、灭鼠等卫生工作。</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8）水土流失：本阶段重点监理项目建设区施工期间所采取水土保持措施的实施及工程承包商施工执行水土保持相关要求的情况。水土保持措施实施监理的重点区域是施工区、道路等。具体监理任务主要有：对水土保持项目及相关水土保持施工技术进行现场监督检查；对工程项目承包商的水土保持工作进行抽查、监督，监理各项施工活动的水土保持措施是否与工程建设同步实施、同时投产使用、同时验收；协助建设方环境管理办公室和有关部门处理项目建设区的各种水土保持纠纷事件；编制水土保持监理工作报告(月报、季报、年报)报送工程建设管理部门，作为开发建设项目水土保持设施验收的基础和水土保持验收报告必备的专项报告。</w:t>
      </w:r>
    </w:p>
    <w:p>
      <w:pPr>
        <w:pStyle w:val="62"/>
        <w:ind w:firstLine="480"/>
        <w:rPr>
          <w:rFonts w:hint="default" w:ascii="Times New Roman" w:hAnsi="Times New Roman" w:cs="Times New Roman"/>
          <w:color w:val="auto"/>
        </w:rPr>
      </w:pPr>
      <w:r>
        <w:rPr>
          <w:rFonts w:hint="default" w:ascii="Times New Roman" w:hAnsi="Times New Roman" w:cs="Times New Roman"/>
          <w:color w:val="auto"/>
        </w:rPr>
        <w:t>9）环境保护设施建设：检查生活污水处理设施等环境保护设施的落实情况，对设施落实不及时、不到位的情况，督促相关单位及时进行落实。</w:t>
      </w:r>
    </w:p>
    <w:bookmarkEnd w:id="71"/>
    <w:p>
      <w:pPr>
        <w:pStyle w:val="5"/>
        <w:rPr>
          <w:rFonts w:hint="default" w:ascii="Times New Roman" w:hAnsi="Times New Roman" w:cs="Times New Roman"/>
          <w:color w:val="auto"/>
          <w:sz w:val="24"/>
          <w:szCs w:val="28"/>
        </w:rPr>
      </w:pPr>
      <w:bookmarkStart w:id="73" w:name="_Toc20780"/>
      <w:bookmarkStart w:id="74" w:name="_Toc28284"/>
      <w:r>
        <w:rPr>
          <w:rFonts w:hint="default" w:ascii="Times New Roman" w:hAnsi="Times New Roman" w:cs="Times New Roman"/>
          <w:color w:val="auto"/>
          <w:sz w:val="24"/>
          <w:szCs w:val="28"/>
        </w:rPr>
        <w:t>环境保护竣工验收</w:t>
      </w:r>
      <w:bookmarkEnd w:id="73"/>
      <w:bookmarkEnd w:id="74"/>
    </w:p>
    <w:p>
      <w:pPr>
        <w:pStyle w:val="75"/>
        <w:ind w:firstLine="480"/>
        <w:rPr>
          <w:rFonts w:hint="default" w:ascii="Times New Roman" w:hAnsi="Times New Roman" w:cs="Times New Roman"/>
          <w:color w:val="auto"/>
          <w:szCs w:val="24"/>
        </w:rPr>
      </w:pPr>
      <w:r>
        <w:rPr>
          <w:rFonts w:hint="default" w:ascii="Times New Roman" w:hAnsi="Times New Roman" w:cs="Times New Roman"/>
          <w:color w:val="auto"/>
        </w:rPr>
        <w:t>根据上文统计，本项目项目“三同时”验收一览表见表7.4-1。</w:t>
      </w:r>
    </w:p>
    <w:p>
      <w:pPr>
        <w:pStyle w:val="75"/>
        <w:ind w:firstLine="480"/>
        <w:rPr>
          <w:rFonts w:hint="default" w:ascii="Times New Roman" w:hAnsi="Times New Roman" w:cs="Times New Roman"/>
          <w:color w:val="auto"/>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88"/>
        <w:spacing w:before="63" w:after="0" w:afterLines="0"/>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lang w:val="en-US" w:eastAsia="zh-CN"/>
        </w:rPr>
        <w:t>8</w:t>
      </w:r>
      <w:r>
        <w:rPr>
          <w:rFonts w:hint="default" w:ascii="Times New Roman" w:hAnsi="Times New Roman" w:cs="Times New Roman"/>
          <w:color w:val="auto"/>
        </w:rPr>
        <w:t>.4-1 项目“三同时”验收一览表</w:t>
      </w:r>
    </w:p>
    <w:tbl>
      <w:tblPr>
        <w:tblStyle w:val="24"/>
        <w:tblW w:w="14053" w:type="dxa"/>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
      <w:tblGrid>
        <w:gridCol w:w="832"/>
        <w:gridCol w:w="1628"/>
        <w:gridCol w:w="4324"/>
        <w:gridCol w:w="11"/>
        <w:gridCol w:w="3924"/>
        <w:gridCol w:w="3334"/>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1628"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类别</w:t>
            </w:r>
          </w:p>
        </w:tc>
        <w:tc>
          <w:tcPr>
            <w:tcW w:w="8259" w:type="dxa"/>
            <w:gridSpan w:val="3"/>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验收内容</w:t>
            </w:r>
          </w:p>
        </w:tc>
        <w:tc>
          <w:tcPr>
            <w:tcW w:w="333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备注</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w:t>
            </w:r>
          </w:p>
        </w:tc>
        <w:tc>
          <w:tcPr>
            <w:tcW w:w="1628"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组织机构</w:t>
            </w:r>
          </w:p>
        </w:tc>
        <w:tc>
          <w:tcPr>
            <w:tcW w:w="8259" w:type="dxa"/>
            <w:gridSpan w:val="3"/>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成立本工程环保管理机构</w:t>
            </w:r>
          </w:p>
        </w:tc>
        <w:tc>
          <w:tcPr>
            <w:tcW w:w="3334" w:type="dxa"/>
            <w:vMerge w:val="restart"/>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有关环保资料由建设单位在提交验收申请报告时提供给环保部门</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vMerge w:val="restart"/>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w:t>
            </w:r>
          </w:p>
        </w:tc>
        <w:tc>
          <w:tcPr>
            <w:tcW w:w="1628"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施工期</w:t>
            </w:r>
          </w:p>
        </w:tc>
        <w:tc>
          <w:tcPr>
            <w:tcW w:w="8259" w:type="dxa"/>
            <w:gridSpan w:val="3"/>
            <w:vMerge w:val="restart"/>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按照“环评报告书”要求，开展施工期环境监测和监理，并将每次或每年的监测报告和监理报告进行存档</w:t>
            </w:r>
          </w:p>
        </w:tc>
        <w:tc>
          <w:tcPr>
            <w:tcW w:w="3334" w:type="dxa"/>
            <w:vMerge w:val="continue"/>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145" w:hRule="atLeast"/>
        </w:trPr>
        <w:tc>
          <w:tcPr>
            <w:tcW w:w="832" w:type="dxa"/>
            <w:vMerge w:val="continue"/>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p>
        </w:tc>
        <w:tc>
          <w:tcPr>
            <w:tcW w:w="1628"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w:t>
            </w:r>
          </w:p>
        </w:tc>
        <w:tc>
          <w:tcPr>
            <w:tcW w:w="8259" w:type="dxa"/>
            <w:gridSpan w:val="3"/>
            <w:vMerge w:val="continue"/>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p>
        </w:tc>
        <w:tc>
          <w:tcPr>
            <w:tcW w:w="3334" w:type="dxa"/>
            <w:vMerge w:val="continue"/>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vMerge w:val="restart"/>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三</w:t>
            </w:r>
          </w:p>
        </w:tc>
        <w:tc>
          <w:tcPr>
            <w:tcW w:w="1628"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运营期</w:t>
            </w:r>
          </w:p>
        </w:tc>
        <w:tc>
          <w:tcPr>
            <w:tcW w:w="8259" w:type="dxa"/>
            <w:gridSpan w:val="3"/>
            <w:vMerge w:val="restart"/>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按照“环评报告书”要求，进行运营期间环境监测，并将监测报告存档</w:t>
            </w:r>
          </w:p>
        </w:tc>
        <w:tc>
          <w:tcPr>
            <w:tcW w:w="3334" w:type="dxa"/>
            <w:vMerge w:val="continue"/>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vMerge w:val="continue"/>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p>
        </w:tc>
        <w:tc>
          <w:tcPr>
            <w:tcW w:w="1628"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w:t>
            </w:r>
          </w:p>
        </w:tc>
        <w:tc>
          <w:tcPr>
            <w:tcW w:w="8259" w:type="dxa"/>
            <w:gridSpan w:val="3"/>
            <w:vMerge w:val="continue"/>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p>
        </w:tc>
        <w:tc>
          <w:tcPr>
            <w:tcW w:w="3334" w:type="dxa"/>
            <w:vMerge w:val="continue"/>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四</w:t>
            </w:r>
            <w:r>
              <w:rPr>
                <w:rFonts w:hint="default" w:ascii="Times New Roman" w:hAnsi="Times New Roman" w:cs="Times New Roman"/>
                <w:color w:val="auto"/>
                <w:sz w:val="21"/>
                <w:szCs w:val="21"/>
              </w:rPr>
              <w:tab/>
            </w:r>
          </w:p>
        </w:tc>
        <w:tc>
          <w:tcPr>
            <w:tcW w:w="13221" w:type="dxa"/>
            <w:gridSpan w:val="5"/>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污染防治主要内容</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69" w:hRule="atLeast"/>
        </w:trPr>
        <w:tc>
          <w:tcPr>
            <w:tcW w:w="2460" w:type="dxa"/>
            <w:gridSpan w:val="2"/>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污染源分类</w:t>
            </w:r>
          </w:p>
        </w:tc>
        <w:tc>
          <w:tcPr>
            <w:tcW w:w="432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环保措施</w:t>
            </w:r>
          </w:p>
        </w:tc>
        <w:tc>
          <w:tcPr>
            <w:tcW w:w="3935" w:type="dxa"/>
            <w:gridSpan w:val="2"/>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验收内容</w:t>
            </w:r>
          </w:p>
        </w:tc>
        <w:tc>
          <w:tcPr>
            <w:tcW w:w="333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验收要求</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3221" w:type="dxa"/>
            <w:gridSpan w:val="5"/>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水污染源</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w:t>
            </w:r>
          </w:p>
        </w:tc>
        <w:tc>
          <w:tcPr>
            <w:tcW w:w="1628"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施工废水</w:t>
            </w:r>
          </w:p>
        </w:tc>
        <w:tc>
          <w:tcPr>
            <w:tcW w:w="432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自然沉淀后清水回用；仍不能达标时投药促沉</w:t>
            </w:r>
          </w:p>
        </w:tc>
        <w:tc>
          <w:tcPr>
            <w:tcW w:w="3935" w:type="dxa"/>
            <w:gridSpan w:val="2"/>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配备加药促沉辅助净化措施</w:t>
            </w:r>
          </w:p>
        </w:tc>
        <w:tc>
          <w:tcPr>
            <w:tcW w:w="333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施工</w:t>
            </w:r>
            <w:r>
              <w:rPr>
                <w:rFonts w:hint="default" w:ascii="Times New Roman" w:hAnsi="Times New Roman" w:cs="Times New Roman"/>
                <w:color w:val="auto"/>
                <w:sz w:val="21"/>
                <w:szCs w:val="21"/>
              </w:rPr>
              <w:t>废水回用于生产，未对周边环境产生影响</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w:t>
            </w:r>
          </w:p>
        </w:tc>
        <w:tc>
          <w:tcPr>
            <w:tcW w:w="1628"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试管废水</w:t>
            </w:r>
          </w:p>
        </w:tc>
        <w:tc>
          <w:tcPr>
            <w:tcW w:w="432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直接投加絮凝剂后清水回用于施工场地、道路洒水降尘等，不外排</w:t>
            </w:r>
          </w:p>
        </w:tc>
        <w:tc>
          <w:tcPr>
            <w:tcW w:w="3935" w:type="dxa"/>
            <w:gridSpan w:val="2"/>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配备加药促沉辅助净化措施、余水有进行 监测</w:t>
            </w:r>
          </w:p>
        </w:tc>
        <w:tc>
          <w:tcPr>
            <w:tcW w:w="333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试管</w:t>
            </w:r>
            <w:r>
              <w:rPr>
                <w:rFonts w:hint="default" w:ascii="Times New Roman" w:hAnsi="Times New Roman" w:cs="Times New Roman"/>
                <w:color w:val="auto"/>
                <w:sz w:val="21"/>
                <w:szCs w:val="21"/>
              </w:rPr>
              <w:t>废水回用于施工场地、道路洒水降尘等，未对周边环境产生影响</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1.</w:t>
            </w:r>
            <w:r>
              <w:rPr>
                <w:rFonts w:hint="default" w:ascii="Times New Roman" w:hAnsi="Times New Roman" w:cs="Times New Roman"/>
                <w:color w:val="auto"/>
                <w:sz w:val="21"/>
                <w:szCs w:val="21"/>
                <w:lang w:val="en-US" w:eastAsia="zh-CN"/>
              </w:rPr>
              <w:t>3</w:t>
            </w:r>
          </w:p>
        </w:tc>
        <w:tc>
          <w:tcPr>
            <w:tcW w:w="1628"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w:t>
            </w:r>
            <w:r>
              <w:rPr>
                <w:rFonts w:hint="default" w:ascii="Times New Roman" w:hAnsi="Times New Roman" w:cs="Times New Roman"/>
                <w:color w:val="auto"/>
                <w:sz w:val="21"/>
                <w:szCs w:val="21"/>
                <w:lang w:eastAsia="zh-CN"/>
              </w:rPr>
              <w:t>区</w:t>
            </w:r>
            <w:r>
              <w:rPr>
                <w:rFonts w:hint="default" w:ascii="Times New Roman" w:hAnsi="Times New Roman" w:cs="Times New Roman"/>
                <w:color w:val="auto"/>
                <w:sz w:val="21"/>
                <w:szCs w:val="21"/>
              </w:rPr>
              <w:t>生活污水</w:t>
            </w:r>
          </w:p>
        </w:tc>
        <w:tc>
          <w:tcPr>
            <w:tcW w:w="432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施工</w:t>
            </w:r>
            <w:r>
              <w:rPr>
                <w:rFonts w:hint="default" w:ascii="Times New Roman" w:hAnsi="Times New Roman" w:cs="Times New Roman"/>
                <w:color w:val="auto"/>
                <w:sz w:val="21"/>
                <w:szCs w:val="21"/>
                <w:lang w:eastAsia="zh-CN"/>
              </w:rPr>
              <w:t>区宿舍均租用附近农民自建房，不现场搭建临时生活营地，生活污水处理依托农户原有处理设施</w:t>
            </w:r>
          </w:p>
        </w:tc>
        <w:tc>
          <w:tcPr>
            <w:tcW w:w="3935" w:type="dxa"/>
            <w:gridSpan w:val="2"/>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w:t>
            </w:r>
          </w:p>
        </w:tc>
        <w:tc>
          <w:tcPr>
            <w:tcW w:w="333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1628"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管理站废水</w:t>
            </w:r>
          </w:p>
        </w:tc>
        <w:tc>
          <w:tcPr>
            <w:tcW w:w="432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bidi="ar"/>
              </w:rPr>
              <w:t>元坝首站不新增定员，陵江清管站无人值守，但设置厕所，生活污水经收集处理后用于绿化和农肥；元坝作业区新增</w:t>
            </w:r>
            <w:r>
              <w:rPr>
                <w:rFonts w:hint="default" w:ascii="Times New Roman" w:hAnsi="Times New Roman" w:cs="Times New Roman"/>
                <w:color w:val="auto"/>
                <w:sz w:val="21"/>
                <w:szCs w:val="21"/>
                <w:lang w:val="en-US" w:eastAsia="zh-CN" w:bidi="ar"/>
              </w:rPr>
              <w:t>42人，生活污水进入市政管网</w:t>
            </w:r>
            <w:r>
              <w:rPr>
                <w:rFonts w:hint="default" w:ascii="Times New Roman" w:hAnsi="Times New Roman" w:cs="Times New Roman"/>
                <w:color w:val="auto"/>
                <w:sz w:val="21"/>
                <w:szCs w:val="21"/>
                <w:lang w:eastAsia="zh-CN" w:bidi="ar"/>
              </w:rPr>
              <w:t>。</w:t>
            </w:r>
          </w:p>
        </w:tc>
        <w:tc>
          <w:tcPr>
            <w:tcW w:w="3935" w:type="dxa"/>
            <w:gridSpan w:val="2"/>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sz w:val="21"/>
                <w:szCs w:val="21"/>
                <w:lang w:val="en-US" w:eastAsia="zh-CN"/>
              </w:rPr>
              <w:t>/</w:t>
            </w:r>
          </w:p>
        </w:tc>
        <w:tc>
          <w:tcPr>
            <w:tcW w:w="333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3221" w:type="dxa"/>
            <w:gridSpan w:val="5"/>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w:t>
            </w:r>
          </w:p>
        </w:tc>
        <w:tc>
          <w:tcPr>
            <w:tcW w:w="1628"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施工区噪声防治</w:t>
            </w:r>
          </w:p>
        </w:tc>
        <w:tc>
          <w:tcPr>
            <w:tcW w:w="432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设备噪声排放指标参数符合相关环保标准；选用低噪声设备；设备保养；避开敏感区，设置隔声屏；敏感点附近禁止夜间施工，昼间合理安排施工时间，严格控制施工设备的噪声分贝</w:t>
            </w:r>
          </w:p>
        </w:tc>
        <w:tc>
          <w:tcPr>
            <w:tcW w:w="3935" w:type="dxa"/>
            <w:gridSpan w:val="2"/>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禁止在敏感目标附近夜间施工；在靠近噪声超标的的敏感目标一侧边上有设置临时移动隔声屏</w:t>
            </w:r>
          </w:p>
        </w:tc>
        <w:tc>
          <w:tcPr>
            <w:tcW w:w="333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不会对周边居民生活产生影响</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3221" w:type="dxa"/>
            <w:gridSpan w:val="5"/>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w:t>
            </w:r>
          </w:p>
        </w:tc>
        <w:tc>
          <w:tcPr>
            <w:tcW w:w="1628"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施工扬尘</w:t>
            </w:r>
          </w:p>
        </w:tc>
        <w:tc>
          <w:tcPr>
            <w:tcW w:w="432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洒水降尘</w:t>
            </w:r>
          </w:p>
        </w:tc>
        <w:tc>
          <w:tcPr>
            <w:tcW w:w="3935" w:type="dxa"/>
            <w:gridSpan w:val="2"/>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配有洒水设备</w:t>
            </w:r>
          </w:p>
        </w:tc>
        <w:tc>
          <w:tcPr>
            <w:tcW w:w="333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施工扬尘影响较小</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13221" w:type="dxa"/>
            <w:gridSpan w:val="5"/>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固体废物</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4.1</w:t>
            </w:r>
          </w:p>
        </w:tc>
        <w:tc>
          <w:tcPr>
            <w:tcW w:w="1628"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生活垃圾</w:t>
            </w:r>
          </w:p>
        </w:tc>
        <w:tc>
          <w:tcPr>
            <w:tcW w:w="432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设置垃圾桶，安排专人定时清理，委托当地环保部门定期清运处理；经常喷洒消毒药水</w:t>
            </w:r>
          </w:p>
        </w:tc>
        <w:tc>
          <w:tcPr>
            <w:tcW w:w="3935" w:type="dxa"/>
            <w:gridSpan w:val="2"/>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设置垃圾收集桶，对垃圾进行临时存放； 安排专人喷洒消毒药水</w:t>
            </w:r>
          </w:p>
        </w:tc>
        <w:tc>
          <w:tcPr>
            <w:tcW w:w="333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垃圾妥善处置， 未产生垃圾污染</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13221" w:type="dxa"/>
            <w:gridSpan w:val="5"/>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人群健康</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5.1</w:t>
            </w:r>
          </w:p>
        </w:tc>
        <w:tc>
          <w:tcPr>
            <w:tcW w:w="1628"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人群健康</w:t>
            </w:r>
          </w:p>
        </w:tc>
        <w:tc>
          <w:tcPr>
            <w:tcW w:w="432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场地消毒、卫生防疫、生活区杀虫灭鼠</w:t>
            </w:r>
          </w:p>
        </w:tc>
        <w:tc>
          <w:tcPr>
            <w:tcW w:w="3935" w:type="dxa"/>
            <w:gridSpan w:val="2"/>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建立事故应急机制、安排专人定期灭杀老 鼠、成立专门的清洁队伍；制定有疫情抽查及预防计划</w:t>
            </w:r>
          </w:p>
        </w:tc>
        <w:tc>
          <w:tcPr>
            <w:tcW w:w="333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施工人员健康</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13221" w:type="dxa"/>
            <w:gridSpan w:val="5"/>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生态</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6.1</w:t>
            </w:r>
          </w:p>
        </w:tc>
        <w:tc>
          <w:tcPr>
            <w:tcW w:w="1628"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生态环境</w:t>
            </w:r>
          </w:p>
        </w:tc>
        <w:tc>
          <w:tcPr>
            <w:tcW w:w="4335" w:type="dxa"/>
            <w:gridSpan w:val="2"/>
            <w:noWrap w:val="0"/>
            <w:vAlign w:val="center"/>
          </w:tcPr>
          <w:p>
            <w:pPr>
              <w:keepNext w:val="0"/>
              <w:keepLines w:val="0"/>
              <w:pageBreakBefore w:val="0"/>
              <w:widowControl w:val="0"/>
              <w:kinsoku/>
              <w:wordWrap/>
              <w:overflowPunct w:val="0"/>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lang w:eastAsia="zh-CN"/>
              </w:rPr>
              <w:t>迹地恢复、渣场恢复措施</w:t>
            </w:r>
          </w:p>
        </w:tc>
        <w:tc>
          <w:tcPr>
            <w:tcW w:w="392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括施工期环境监控和管理、施工期巡视监测、施工期临时救援与培训、水生生物监测</w:t>
            </w:r>
          </w:p>
        </w:tc>
        <w:tc>
          <w:tcPr>
            <w:tcW w:w="333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832"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6.2</w:t>
            </w:r>
          </w:p>
        </w:tc>
        <w:tc>
          <w:tcPr>
            <w:tcW w:w="1628"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水土流失</w:t>
            </w:r>
          </w:p>
        </w:tc>
        <w:tc>
          <w:tcPr>
            <w:tcW w:w="4335" w:type="dxa"/>
            <w:gridSpan w:val="2"/>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植被等水土流失防治措施</w:t>
            </w:r>
          </w:p>
        </w:tc>
        <w:tc>
          <w:tcPr>
            <w:tcW w:w="392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对占地为耕地的在施工前进行表土剥离；施工道路旁设置排水沟、沉沙池</w:t>
            </w:r>
          </w:p>
        </w:tc>
        <w:tc>
          <w:tcPr>
            <w:tcW w:w="3334" w:type="dxa"/>
            <w:noWrap w:val="0"/>
            <w:vAlign w:val="center"/>
          </w:tcPr>
          <w:p>
            <w:pPr>
              <w:pStyle w:val="32"/>
              <w:keepNext w:val="0"/>
              <w:keepLines w:val="0"/>
              <w:pageBreakBefore w:val="0"/>
              <w:widowControl w:val="0"/>
              <w:kinsoku/>
              <w:wordWrap/>
              <w:topLinePunct w:val="0"/>
              <w:bidi w:val="0"/>
              <w:adjustRightInd/>
              <w:snapToGrid/>
              <w:spacing w:line="240" w:lineRule="auto"/>
              <w:ind w:firstLine="0" w:firstLineChars="0"/>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本工程水土保持措施实施后，水土流失治理度为99%，土壤流失控制比为1，渣土防护率为 87%，表土保护率为 90%，林草植被恢复率为 99%，林草覆盖率为 25%。具有较好的生态效益，同时起到美化和景观效果。</w:t>
            </w:r>
          </w:p>
        </w:tc>
      </w:tr>
    </w:tbl>
    <w:p>
      <w:pPr>
        <w:pStyle w:val="23"/>
        <w:ind w:left="0" w:leftChars="0" w:firstLine="0" w:firstLineChars="0"/>
        <w:rPr>
          <w:rFonts w:hint="default" w:ascii="Times New Roman" w:hAnsi="Times New Roman" w:eastAsia="宋体" w:cs="Times New Roman"/>
          <w:color w:val="auto"/>
          <w:lang w:val="en-US" w:eastAsia="zh-CN"/>
        </w:rPr>
      </w:pPr>
    </w:p>
    <w:p>
      <w:pPr>
        <w:pStyle w:val="23"/>
        <w:rPr>
          <w:rFonts w:hint="default" w:ascii="Times New Roman" w:hAnsi="Times New Roman" w:eastAsia="宋体" w:cs="Times New Roman"/>
          <w:color w:val="auto"/>
          <w:lang w:val="en-US" w:eastAsia="zh-CN"/>
        </w:rPr>
        <w:sectPr>
          <w:pgSz w:w="16838" w:h="11906" w:orient="landscape"/>
          <w:pgMar w:top="1474" w:right="1814" w:bottom="1474" w:left="1474" w:header="851" w:footer="992" w:gutter="0"/>
          <w:pgBorders w:offsetFrom="page">
            <w:top w:val="none" w:sz="0" w:space="0"/>
            <w:left w:val="none" w:sz="0" w:space="0"/>
            <w:bottom w:val="none" w:sz="0" w:space="0"/>
            <w:right w:val="none" w:sz="0" w:space="0"/>
          </w:pgBorders>
          <w:pgNumType w:fmt="decimal"/>
          <w:cols w:space="0" w:num="1"/>
          <w:rtlGutter w:val="0"/>
          <w:docGrid w:type="lines" w:linePitch="330" w:charSpace="0"/>
        </w:sectPr>
      </w:pPr>
    </w:p>
    <w:p>
      <w:pPr>
        <w:pStyle w:val="4"/>
        <w:numPr>
          <w:ilvl w:val="0"/>
          <w:numId w:val="0"/>
        </w:numPr>
        <w:bidi w:val="0"/>
        <w:jc w:val="center"/>
        <w:rPr>
          <w:rFonts w:hint="default" w:ascii="Times New Roman" w:hAnsi="Times New Roman" w:eastAsia="宋体" w:cs="Times New Roman"/>
          <w:color w:val="auto"/>
          <w:lang w:val="en-US" w:eastAsia="zh-CN"/>
        </w:rPr>
      </w:pPr>
      <w:bookmarkStart w:id="75" w:name="_Toc32709"/>
      <w:r>
        <w:rPr>
          <w:rFonts w:hint="default" w:ascii="Times New Roman" w:hAnsi="Times New Roman" w:eastAsia="宋体" w:cs="Times New Roman"/>
          <w:color w:val="auto"/>
          <w:lang w:val="en-US" w:eastAsia="zh-CN"/>
        </w:rPr>
        <w:t>第</w:t>
      </w:r>
      <w:r>
        <w:rPr>
          <w:rFonts w:hint="default" w:ascii="Times New Roman" w:hAnsi="Times New Roman" w:cs="Times New Roman"/>
          <w:color w:val="auto"/>
          <w:lang w:val="en-US" w:eastAsia="zh-CN"/>
        </w:rPr>
        <w:t>九</w:t>
      </w:r>
      <w:r>
        <w:rPr>
          <w:rFonts w:hint="default" w:ascii="Times New Roman" w:hAnsi="Times New Roman" w:eastAsia="宋体" w:cs="Times New Roman"/>
          <w:color w:val="auto"/>
          <w:lang w:val="en-US" w:eastAsia="zh-CN"/>
        </w:rPr>
        <w:t>章  结论与建议</w:t>
      </w:r>
      <w:bookmarkEnd w:id="75"/>
    </w:p>
    <w:p>
      <w:pPr>
        <w:keepNext w:val="0"/>
        <w:keepLines w:val="0"/>
        <w:widowControl/>
        <w:suppressLineNumbers w:val="0"/>
        <w:spacing w:line="360" w:lineRule="auto"/>
        <w:ind w:left="0" w:leftChars="0" w:firstLine="0" w:firstLineChars="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eastAsia="宋体" w:cs="Times New Roman"/>
          <w:b/>
          <w:bCs/>
          <w:color w:val="auto"/>
          <w:kern w:val="0"/>
          <w:sz w:val="28"/>
          <w:szCs w:val="28"/>
          <w:lang w:val="en-US" w:eastAsia="zh-CN" w:bidi="ar"/>
        </w:rPr>
        <w:t xml:space="preserve">9.1 工程建设内容 </w:t>
      </w:r>
    </w:p>
    <w:p>
      <w:pPr>
        <w:pStyle w:val="23"/>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中贵线与元坝一普光管道联通工程项目输气能力30亿立方米/年，设计压力10.0兆帕，管径D1016毫米。管线长度</w:t>
      </w:r>
      <w:r>
        <w:rPr>
          <w:rFonts w:hint="eastAsia" w:ascii="Times New Roman" w:hAnsi="Times New Roman" w:cs="Times New Roman"/>
          <w:color w:val="auto"/>
          <w:kern w:val="0"/>
          <w:sz w:val="24"/>
          <w:szCs w:val="24"/>
          <w:lang w:val="en-US" w:eastAsia="zh-CN" w:bidi="ar"/>
        </w:rPr>
        <w:t>14.5千</w:t>
      </w:r>
      <w:r>
        <w:rPr>
          <w:rFonts w:hint="default" w:ascii="Times New Roman" w:hAnsi="Times New Roman" w:eastAsia="宋体" w:cs="Times New Roman"/>
          <w:color w:val="auto"/>
          <w:kern w:val="0"/>
          <w:sz w:val="24"/>
          <w:szCs w:val="24"/>
          <w:lang w:val="en-US" w:eastAsia="zh-CN" w:bidi="ar"/>
        </w:rPr>
        <w:t>米，含河流</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东河</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大型穿越1处</w:t>
      </w:r>
      <w:r>
        <w:rPr>
          <w:rFonts w:hint="default" w:ascii="Times New Roman" w:hAnsi="Times New Roman" w:cs="Times New Roman"/>
          <w:color w:val="auto"/>
          <w:kern w:val="0"/>
          <w:sz w:val="24"/>
          <w:szCs w:val="24"/>
          <w:lang w:val="en-US" w:eastAsia="zh-CN" w:bidi="ar"/>
        </w:rPr>
        <w:t>，无等级公路穿越</w:t>
      </w:r>
      <w:r>
        <w:rPr>
          <w:rFonts w:hint="default" w:ascii="Times New Roman" w:hAnsi="Times New Roman" w:eastAsia="宋体" w:cs="Times New Roman"/>
          <w:color w:val="auto"/>
          <w:kern w:val="0"/>
          <w:sz w:val="24"/>
          <w:szCs w:val="24"/>
          <w:lang w:val="en-US" w:eastAsia="zh-CN" w:bidi="ar"/>
        </w:rPr>
        <w:t>。新建站场1座、改建站场1座。新建元坝作业区，建筑面积2300平方米。</w:t>
      </w:r>
    </w:p>
    <w:p>
      <w:pPr>
        <w:keepNext w:val="0"/>
        <w:keepLines w:val="0"/>
        <w:widowControl/>
        <w:suppressLineNumbers w:val="0"/>
        <w:spacing w:line="360" w:lineRule="auto"/>
        <w:ind w:left="0" w:leftChars="0" w:firstLine="0" w:firstLineChars="0"/>
        <w:jc w:val="left"/>
        <w:rPr>
          <w:rFonts w:hint="default" w:ascii="Times New Roman" w:hAnsi="Times New Roman" w:cs="Times New Roman"/>
          <w:b/>
          <w:bCs/>
          <w:color w:val="auto"/>
          <w:kern w:val="0"/>
          <w:sz w:val="28"/>
          <w:szCs w:val="28"/>
          <w:lang w:val="en-US" w:eastAsia="zh-CN" w:bidi="ar"/>
        </w:rPr>
      </w:pPr>
      <w:r>
        <w:rPr>
          <w:rFonts w:hint="default" w:ascii="Times New Roman" w:hAnsi="Times New Roman" w:eastAsia="宋体" w:cs="Times New Roman"/>
          <w:b/>
          <w:bCs/>
          <w:color w:val="auto"/>
          <w:kern w:val="0"/>
          <w:sz w:val="28"/>
          <w:szCs w:val="28"/>
          <w:lang w:val="en-US" w:eastAsia="zh-CN" w:bidi="ar"/>
        </w:rPr>
        <w:t>9.</w:t>
      </w:r>
      <w:r>
        <w:rPr>
          <w:rFonts w:hint="default" w:ascii="Times New Roman" w:hAnsi="Times New Roman" w:cs="Times New Roman"/>
          <w:b/>
          <w:bCs/>
          <w:color w:val="auto"/>
          <w:kern w:val="0"/>
          <w:sz w:val="28"/>
          <w:szCs w:val="28"/>
          <w:lang w:val="en-US" w:eastAsia="zh-CN" w:bidi="ar"/>
        </w:rPr>
        <w:t>2</w:t>
      </w:r>
      <w:r>
        <w:rPr>
          <w:rFonts w:hint="default" w:ascii="Times New Roman" w:hAnsi="Times New Roman" w:eastAsia="宋体" w:cs="Times New Roman"/>
          <w:b/>
          <w:bCs/>
          <w:color w:val="auto"/>
          <w:kern w:val="0"/>
          <w:sz w:val="28"/>
          <w:szCs w:val="28"/>
          <w:lang w:val="en-US" w:eastAsia="zh-CN" w:bidi="ar"/>
        </w:rPr>
        <w:t xml:space="preserve"> </w:t>
      </w:r>
      <w:r>
        <w:rPr>
          <w:rFonts w:hint="default" w:ascii="Times New Roman" w:hAnsi="Times New Roman" w:cs="Times New Roman"/>
          <w:b/>
          <w:bCs/>
          <w:color w:val="auto"/>
          <w:kern w:val="0"/>
          <w:sz w:val="28"/>
          <w:szCs w:val="28"/>
          <w:lang w:val="en-US" w:eastAsia="zh-CN" w:bidi="ar"/>
        </w:rPr>
        <w:t>工程与相关政策、规划符合性分析</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kern w:val="0"/>
          <w:sz w:val="24"/>
          <w:szCs w:val="24"/>
          <w:lang w:val="en-US" w:eastAsia="zh-CN" w:bidi="ar"/>
        </w:rPr>
        <w:t>9.2.1 产业政策符合性</w:t>
      </w:r>
    </w:p>
    <w:p>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本工程属于《产业结构调整指导目录（2019年本）》中</w:t>
      </w:r>
      <w:r>
        <w:rPr>
          <w:rFonts w:hint="default" w:ascii="Times New Roman" w:hAnsi="Times New Roman" w:cs="Times New Roman"/>
          <w:color w:val="auto"/>
          <w:lang w:val="en-US" w:eastAsia="zh-CN"/>
        </w:rPr>
        <w:t>“</w:t>
      </w:r>
      <w:r>
        <w:rPr>
          <w:rFonts w:hint="default" w:ascii="Times New Roman" w:hAnsi="Times New Roman" w:eastAsia="宋体" w:cs="Times New Roman"/>
          <w:color w:val="auto"/>
          <w:lang w:val="en-US" w:eastAsia="zh-CN"/>
        </w:rPr>
        <w:t>鼓励类</w:t>
      </w:r>
      <w:r>
        <w:rPr>
          <w:rFonts w:hint="default" w:ascii="Times New Roman" w:hAnsi="Times New Roman" w:cs="Times New Roman"/>
          <w:color w:val="auto"/>
          <w:lang w:val="en-US" w:eastAsia="zh-CN"/>
        </w:rPr>
        <w:t>”</w:t>
      </w:r>
      <w:r>
        <w:rPr>
          <w:rFonts w:hint="default" w:ascii="Times New Roman" w:hAnsi="Times New Roman" w:eastAsia="宋体" w:cs="Times New Roman"/>
          <w:color w:val="auto"/>
          <w:lang w:val="en-US" w:eastAsia="zh-CN"/>
        </w:rPr>
        <w:t>中的“七、石油、天然气——3、原油、天然气、液化天然气、成品油的储运和管道输送设施、网络和液化天然气加注设施建设”。</w:t>
      </w:r>
    </w:p>
    <w:p>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同时苍溪县发展和改革局以苍发改投资</w:t>
      </w:r>
      <w:r>
        <w:rPr>
          <w:rFonts w:hint="default" w:ascii="Times New Roman" w:hAnsi="Times New Roman" w:eastAsia="宋体" w:cs="Times New Roman"/>
          <w:color w:val="auto"/>
          <w:lang w:val="en-US" w:eastAsia="zh-CN"/>
        </w:rPr>
        <w:t>〔2021〕185号文件《苍溪县发展和改革局“关于中贵线与元坝-普光管道联通工程”项目核准的批复》同意本工程立项。</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本项目符合国家现行产业政策。 </w:t>
      </w:r>
    </w:p>
    <w:p>
      <w:pPr>
        <w:keepNext w:val="0"/>
        <w:keepLines w:val="0"/>
        <w:widowControl/>
        <w:suppressLineNumbers w:val="0"/>
        <w:ind w:left="0" w:leftChars="0" w:firstLine="0" w:firstLineChars="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kern w:val="0"/>
          <w:sz w:val="24"/>
          <w:szCs w:val="24"/>
          <w:lang w:val="en-US" w:eastAsia="zh-CN" w:bidi="ar"/>
        </w:rPr>
        <w:t>9.2.</w:t>
      </w:r>
      <w:r>
        <w:rPr>
          <w:rFonts w:hint="default" w:ascii="Times New Roman" w:hAnsi="Times New Roman" w:cs="Times New Roman"/>
          <w:b/>
          <w:bCs/>
          <w:color w:val="auto"/>
          <w:kern w:val="0"/>
          <w:sz w:val="24"/>
          <w:szCs w:val="24"/>
          <w:lang w:val="en-US" w:eastAsia="zh-CN" w:bidi="ar"/>
        </w:rPr>
        <w:t>2</w:t>
      </w:r>
      <w:r>
        <w:rPr>
          <w:rFonts w:hint="default" w:ascii="Times New Roman" w:hAnsi="Times New Roman" w:eastAsia="宋体" w:cs="Times New Roman"/>
          <w:b/>
          <w:bCs/>
          <w:color w:val="auto"/>
          <w:kern w:val="0"/>
          <w:sz w:val="24"/>
          <w:szCs w:val="24"/>
          <w:lang w:val="en-US" w:eastAsia="zh-CN" w:bidi="ar"/>
        </w:rPr>
        <w:t xml:space="preserve"> </w:t>
      </w:r>
      <w:r>
        <w:rPr>
          <w:rFonts w:hint="default" w:ascii="Times New Roman" w:hAnsi="Times New Roman" w:cs="Times New Roman"/>
          <w:b/>
          <w:bCs/>
          <w:color w:val="auto"/>
          <w:kern w:val="0"/>
          <w:sz w:val="24"/>
          <w:szCs w:val="24"/>
          <w:lang w:val="en-US" w:eastAsia="zh-CN" w:bidi="ar"/>
        </w:rPr>
        <w:t>规划</w:t>
      </w:r>
      <w:r>
        <w:rPr>
          <w:rFonts w:hint="default" w:ascii="Times New Roman" w:hAnsi="Times New Roman" w:eastAsia="宋体" w:cs="Times New Roman"/>
          <w:b/>
          <w:bCs/>
          <w:color w:val="auto"/>
          <w:kern w:val="0"/>
          <w:sz w:val="24"/>
          <w:szCs w:val="24"/>
          <w:lang w:val="en-US" w:eastAsia="zh-CN" w:bidi="ar"/>
        </w:rPr>
        <w:t>符合性</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highlight w:val="none"/>
          <w:lang w:val="en-US" w:eastAsia="zh-CN" w:bidi="ar"/>
        </w:rPr>
        <w:t>中贵线与元坝-普光管道联通工程项目管道全线位于苍溪县境内，管道起于元坝净化厂内的元坝首站，线路出站后向南敷设，途经冉家沟、李家湾，圆包梁，在阎家湾穿越东河后，经全民村、朱家湾、孙家沟、曹家院、清盐村，张家湾，最后止于陵江清管站，全线长度约</w:t>
      </w:r>
      <w:r>
        <w:rPr>
          <w:rFonts w:hint="eastAsia" w:ascii="Times New Roman" w:hAnsi="Times New Roman" w:cs="Times New Roman"/>
          <w:color w:val="auto"/>
          <w:kern w:val="0"/>
          <w:sz w:val="24"/>
          <w:szCs w:val="24"/>
          <w:highlight w:val="none"/>
          <w:lang w:val="en-US" w:eastAsia="zh-CN" w:bidi="ar"/>
        </w:rPr>
        <w:t>14.5km</w:t>
      </w:r>
      <w:r>
        <w:rPr>
          <w:rFonts w:hint="default" w:ascii="Times New Roman" w:hAnsi="Times New Roman" w:eastAsia="宋体" w:cs="Times New Roman"/>
          <w:color w:val="auto"/>
          <w:kern w:val="0"/>
          <w:sz w:val="24"/>
          <w:szCs w:val="24"/>
          <w:highlight w:val="none"/>
          <w:lang w:val="en-US" w:eastAsia="zh-CN" w:bidi="ar"/>
        </w:rPr>
        <w:t>。根据</w:t>
      </w:r>
      <w:r>
        <w:rPr>
          <w:rFonts w:hint="default" w:ascii="Times New Roman" w:hAnsi="Times New Roman" w:eastAsia="宋体" w:cs="Times New Roman"/>
          <w:color w:val="auto"/>
          <w:lang w:val="en-US" w:eastAsia="zh-CN"/>
        </w:rPr>
        <w:t>土地利用规划审查图，用地性质为城镇用地，</w:t>
      </w:r>
      <w:r>
        <w:rPr>
          <w:rFonts w:hint="default" w:ascii="Times New Roman" w:hAnsi="Times New Roman" w:eastAsia="宋体" w:cs="Times New Roman"/>
          <w:color w:val="auto"/>
          <w:kern w:val="0"/>
          <w:sz w:val="24"/>
          <w:szCs w:val="24"/>
          <w:lang w:val="en-US" w:eastAsia="zh-CN" w:bidi="ar"/>
        </w:rPr>
        <w:t>项目管道所经地区主要为农业区，拟建管线路由和站场设置均避开了沿线各城镇的规划区，管道拟敷设位置在乡镇规划区以外。</w:t>
      </w:r>
      <w:r>
        <w:rPr>
          <w:rFonts w:hint="default" w:ascii="Times New Roman" w:hAnsi="Times New Roman" w:cs="Times New Roman"/>
          <w:color w:val="auto"/>
          <w:lang w:val="en-US" w:eastAsia="zh-CN"/>
        </w:rPr>
        <w:t>工程于</w:t>
      </w:r>
      <w:r>
        <w:rPr>
          <w:rFonts w:hint="default" w:ascii="Times New Roman" w:hAnsi="Times New Roman" w:eastAsia="宋体" w:cs="Times New Roman"/>
          <w:color w:val="auto"/>
          <w:lang w:val="en-US" w:eastAsia="zh-CN"/>
        </w:rPr>
        <w:t>2021年取得了苍溪县行政审批局出具的用地预审和选址意见的说明</w:t>
      </w:r>
      <w:r>
        <w:rPr>
          <w:rFonts w:hint="default" w:ascii="Times New Roman" w:hAnsi="Times New Roman" w:cs="Times New Roman"/>
          <w:color w:val="auto"/>
          <w:lang w:val="en-US" w:eastAsia="zh-CN"/>
        </w:rPr>
        <w:t>，</w:t>
      </w:r>
      <w:r>
        <w:rPr>
          <w:rFonts w:hint="default" w:ascii="Times New Roman" w:hAnsi="Times New Roman" w:cs="Times New Roman"/>
          <w:color w:val="auto"/>
          <w:kern w:val="0"/>
          <w:sz w:val="24"/>
          <w:szCs w:val="24"/>
          <w:lang w:val="en-US" w:eastAsia="zh-CN" w:bidi="ar"/>
        </w:rPr>
        <w:t>项目路由</w:t>
      </w:r>
      <w:r>
        <w:rPr>
          <w:rFonts w:hint="default" w:ascii="Times New Roman" w:hAnsi="Times New Roman" w:eastAsia="宋体" w:cs="Times New Roman"/>
          <w:color w:val="auto"/>
          <w:kern w:val="0"/>
          <w:sz w:val="24"/>
          <w:szCs w:val="24"/>
          <w:lang w:val="en-US" w:eastAsia="zh-CN" w:bidi="ar"/>
        </w:rPr>
        <w:t>符合沿线城镇的总体规划。</w:t>
      </w:r>
    </w:p>
    <w:p>
      <w:pPr>
        <w:keepNext w:val="0"/>
        <w:keepLines w:val="0"/>
        <w:widowControl/>
        <w:suppressLineNumbers w:val="0"/>
        <w:spacing w:line="360" w:lineRule="auto"/>
        <w:ind w:left="0" w:leftChars="0" w:firstLine="0" w:firstLineChars="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eastAsia="宋体" w:cs="Times New Roman"/>
          <w:b/>
          <w:bCs/>
          <w:color w:val="auto"/>
          <w:kern w:val="0"/>
          <w:sz w:val="28"/>
          <w:szCs w:val="28"/>
          <w:lang w:val="en-US" w:eastAsia="zh-CN" w:bidi="ar"/>
        </w:rPr>
        <w:t xml:space="preserve">9.3 环境现状及影响评价结论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9.3.1 生态环境现状及影响评价</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本项目新增占地现状主要有耕地、林地等。动物为常见的野生动物，以及人工饲养的猪、羊、鸡、鸭等。无珍稀野生动物出没存在，无珍稀野生植物存在。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占地不涉及风景名胜区、世界文化和自然遗产地、自然保护区等特殊保护区，不涉及珍稀濒危野生动植物天然集中分布区、重要水生生物的自然产卵场及索饵场、越冬场和洄游通道等生态敏感区，也不涉及文物保护单位。</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项目占用的土地类型有耕地（水田、旱地）、园地、林地、草地、水域、建设用地、交通运输用地，根据项目可行性研究报告并结合现场实际勘察，本工程总占地46.23hm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，其中永久占地 9.02hm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，临时占地 37.21hm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；占地类型中，采矿用地 0.09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，住宅用地 0.85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，耕地 27.01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，林地 8.92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，草地 0.78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，水域及水利设施用地1.86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，设施农用地 6.72 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整体而言，永久占地不会对评价区的主要构成地类造成大的改变，不会对评价区的土地利用格局造成显著影响。临时占地所造成的影响是短期的，局部的，不会对评价区的土地利用性质和功能、土壤的理化性质、土地利用格局等造成显著影响。工程施工会消除施工区内的植物个体，但不会造成植物种类的减少和植物区系的改变。在输气管道工程施工和运营将破坏占地附近陆栖脊椎动物原有的栖息环境、取食地和巢穴等，大多数陆栖脊椎动物具有趋避的本能，只要项目区以外的环境不遭破坏，施工人员不对它们直接捕杀，项目建设对当地动物的多样性及各动物种群均不会有明显的影响。</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9.3.</w:t>
      </w:r>
      <w:r>
        <w:rPr>
          <w:rFonts w:hint="default" w:ascii="Times New Roman" w:hAnsi="Times New Roman" w:cs="Times New Roman"/>
          <w:b/>
          <w:bCs/>
          <w:color w:val="auto"/>
          <w:kern w:val="0"/>
          <w:sz w:val="24"/>
          <w:szCs w:val="24"/>
          <w:lang w:val="en-US" w:eastAsia="zh-CN" w:bidi="ar"/>
        </w:rPr>
        <w:t>2</w:t>
      </w:r>
      <w:r>
        <w:rPr>
          <w:rFonts w:hint="default" w:ascii="Times New Roman" w:hAnsi="Times New Roman" w:eastAsia="宋体" w:cs="Times New Roman"/>
          <w:b/>
          <w:bCs/>
          <w:color w:val="auto"/>
          <w:kern w:val="0"/>
          <w:sz w:val="24"/>
          <w:szCs w:val="24"/>
          <w:lang w:val="en-US" w:eastAsia="zh-CN" w:bidi="ar"/>
        </w:rPr>
        <w:t xml:space="preserve"> </w:t>
      </w:r>
      <w:r>
        <w:rPr>
          <w:rFonts w:hint="default" w:ascii="Times New Roman" w:hAnsi="Times New Roman" w:cs="Times New Roman"/>
          <w:b/>
          <w:bCs/>
          <w:color w:val="auto"/>
          <w:kern w:val="0"/>
          <w:sz w:val="24"/>
          <w:szCs w:val="24"/>
          <w:lang w:val="en-US" w:eastAsia="zh-CN" w:bidi="ar"/>
        </w:rPr>
        <w:t>大气</w:t>
      </w:r>
      <w:r>
        <w:rPr>
          <w:rFonts w:hint="default" w:ascii="Times New Roman" w:hAnsi="Times New Roman" w:eastAsia="宋体" w:cs="Times New Roman"/>
          <w:b/>
          <w:bCs/>
          <w:color w:val="auto"/>
          <w:kern w:val="0"/>
          <w:sz w:val="24"/>
          <w:szCs w:val="24"/>
          <w:lang w:val="en-US" w:eastAsia="zh-CN" w:bidi="ar"/>
        </w:rPr>
        <w:t>环境现状及影响评价</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根据《苍溪县2019年度环境状况公报》，苍溪县 PM</w:t>
      </w:r>
      <w:r>
        <w:rPr>
          <w:rFonts w:hint="default" w:ascii="Times New Roman" w:hAnsi="Times New Roman" w:eastAsia="宋体" w:cs="Times New Roman"/>
          <w:color w:val="auto"/>
          <w:kern w:val="0"/>
          <w:sz w:val="24"/>
          <w:szCs w:val="24"/>
          <w:vertAlign w:val="subscript"/>
          <w:lang w:val="en-US" w:eastAsia="zh-CN" w:bidi="ar"/>
        </w:rPr>
        <w:t>2.5</w:t>
      </w:r>
      <w:r>
        <w:rPr>
          <w:rFonts w:hint="default" w:ascii="Times New Roman" w:hAnsi="Times New Roman" w:eastAsia="宋体" w:cs="Times New Roman"/>
          <w:color w:val="auto"/>
          <w:kern w:val="0"/>
          <w:sz w:val="24"/>
          <w:szCs w:val="24"/>
          <w:lang w:val="en-US" w:eastAsia="zh-CN" w:bidi="ar"/>
        </w:rPr>
        <w:t xml:space="preserve"> 的年平均质量浓度超过《环境空气质量标准》（GB3095-2012）二级标准要求，为环境空气质量不达标区。根据本项目补充监测结果，评价区域硫化氢小时值满足《环境影响评价技术导则 大气环境》附录D中的参考限值，非甲烷总烃小时值满足《大气污染物综合排放标准详解》中制定的非甲烷总烃小时值标准。 </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9.3.3</w:t>
      </w:r>
      <w:r>
        <w:rPr>
          <w:rFonts w:hint="default" w:ascii="Times New Roman" w:hAnsi="Times New Roman" w:eastAsia="宋体" w:cs="Times New Roman"/>
          <w:b/>
          <w:bCs/>
          <w:color w:val="auto"/>
          <w:kern w:val="0"/>
          <w:sz w:val="24"/>
          <w:szCs w:val="24"/>
          <w:lang w:val="en-US" w:eastAsia="zh-CN" w:bidi="ar"/>
        </w:rPr>
        <w:t xml:space="preserve">地表水环境现状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根据《苍溪县 2019 年度环境状况公报》，本项目评价区域内 2019 年度地表水环境质量均能达到相应执行标准（Ⅲ类），水质状况均为优。根据本项目地表水取样断面监测评价结果，氯化物和硫酸盐满足《地表水环境质量标准》（GB3838-2002）表 2 的标准限值，其余项目均满足《地表水环境质量标准》（GB3838-2002）中Ⅲ类标准，区域地表水环境现状良好。 </w:t>
      </w:r>
    </w:p>
    <w:p>
      <w:pPr>
        <w:keepNext w:val="0"/>
        <w:keepLines w:val="0"/>
        <w:widowControl/>
        <w:suppressLineNumbers w:val="0"/>
        <w:ind w:left="0" w:leftChars="0" w:firstLine="0" w:firstLineChars="0"/>
        <w:jc w:val="left"/>
        <w:rPr>
          <w:rFonts w:hint="default" w:ascii="Times New Roman" w:hAnsi="Times New Roman"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 xml:space="preserve">9.3.4声环境现状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根据苍溪县生态环境局网站公开发布的《苍溪县 2019 年度环境状况公报》，2019 年，苍溪县功能区声环境质量状况良好，各功能区昼间和夜间噪声全年等效声级均值达到《声环境质量标准》（GB3096-2008）规定的限值，评价为达标。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根据本项目声环境现状监测，各监测点昼、夜间噪声值均满足《声环境质量标准》（GB3096-2008）2 类区标准要求，本项目所在区域声环境质量较好。 </w:t>
      </w:r>
    </w:p>
    <w:p>
      <w:pPr>
        <w:keepNext w:val="0"/>
        <w:keepLines w:val="0"/>
        <w:widowControl/>
        <w:suppressLineNumbers w:val="0"/>
        <w:ind w:left="0" w:leftChars="0" w:firstLine="0" w:firstLineChars="0"/>
        <w:jc w:val="left"/>
        <w:rPr>
          <w:rFonts w:hint="default" w:ascii="Times New Roman" w:hAnsi="Times New Roman"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9.3.5</w:t>
      </w:r>
      <w:r>
        <w:rPr>
          <w:rFonts w:hint="default" w:ascii="Times New Roman" w:hAnsi="Times New Roman" w:eastAsia="宋体" w:cs="Times New Roman"/>
          <w:b/>
          <w:bCs/>
          <w:color w:val="auto"/>
          <w:kern w:val="0"/>
          <w:sz w:val="24"/>
          <w:szCs w:val="24"/>
          <w:lang w:val="en-US" w:eastAsia="zh-CN" w:bidi="ar"/>
        </w:rPr>
        <w:t>地</w:t>
      </w:r>
      <w:r>
        <w:rPr>
          <w:rFonts w:hint="default" w:ascii="Times New Roman" w:hAnsi="Times New Roman" w:cs="Times New Roman"/>
          <w:b/>
          <w:bCs/>
          <w:color w:val="auto"/>
          <w:kern w:val="0"/>
          <w:sz w:val="24"/>
          <w:szCs w:val="24"/>
          <w:lang w:val="en-US" w:eastAsia="zh-CN" w:bidi="ar"/>
        </w:rPr>
        <w:t>下</w:t>
      </w:r>
      <w:r>
        <w:rPr>
          <w:rFonts w:hint="default" w:ascii="Times New Roman" w:hAnsi="Times New Roman" w:eastAsia="宋体" w:cs="Times New Roman"/>
          <w:b/>
          <w:bCs/>
          <w:color w:val="auto"/>
          <w:kern w:val="0"/>
          <w:sz w:val="24"/>
          <w:szCs w:val="24"/>
          <w:lang w:val="en-US" w:eastAsia="zh-CN" w:bidi="ar"/>
        </w:rPr>
        <w:t>水环境现状</w:t>
      </w:r>
    </w:p>
    <w:p>
      <w:pPr>
        <w:keepNext w:val="0"/>
        <w:keepLines w:val="0"/>
        <w:widowControl/>
        <w:suppressLineNumbers w:val="0"/>
        <w:ind w:left="0" w:leftChars="0" w:firstLine="480" w:firstLineChars="200"/>
        <w:jc w:val="left"/>
        <w:rPr>
          <w:rFonts w:hint="default" w:ascii="Times New Roman" w:hAnsi="Times New Roman" w:cs="Times New Roman"/>
          <w:b/>
          <w:bCs/>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根据对项目区域地下水现状监测结果表明，地下水各监测点的各项指标均满足《地下水质量标准》（GB/T14848-93）中Ⅲ类标准。</w:t>
      </w:r>
    </w:p>
    <w:p>
      <w:pPr>
        <w:keepNext w:val="0"/>
        <w:keepLines w:val="0"/>
        <w:widowControl/>
        <w:suppressLineNumbers w:val="0"/>
        <w:ind w:left="0" w:leftChars="0" w:firstLine="0" w:firstLineChars="0"/>
        <w:jc w:val="left"/>
        <w:rPr>
          <w:rFonts w:hint="default" w:ascii="Times New Roman" w:hAnsi="Times New Roman"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 xml:space="preserve">9.3.6土壤环境现状 </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根据苍溪县生态环境局网站公开发布的《苍溪县 2019 年度环境状况公报》，2019 年，认真组织实施《土壤污染防治行动计划广元市工作方案 2019 年度实施方案》，全年未发生因耕地土壤污染导致农产品质量不达标且造成不良社会影响的事件，未发生因疑似污染地块或污染地块再开发利用不当造成社会不良影响的事件，土壤环境质量总体保持平稳。</w:t>
      </w:r>
    </w:p>
    <w:p>
      <w:pPr>
        <w:keepNext w:val="0"/>
        <w:keepLines w:val="0"/>
        <w:widowControl/>
        <w:suppressLineNumbers w:val="0"/>
        <w:spacing w:line="360" w:lineRule="auto"/>
        <w:ind w:left="0" w:leftChars="0" w:firstLine="0" w:firstLineChars="0"/>
        <w:jc w:val="left"/>
        <w:rPr>
          <w:rFonts w:hint="default" w:ascii="Times New Roman" w:hAnsi="Times New Roman" w:eastAsia="宋体" w:cs="Times New Roman"/>
          <w:b/>
          <w:bCs/>
          <w:color w:val="auto"/>
          <w:kern w:val="0"/>
          <w:sz w:val="28"/>
          <w:szCs w:val="28"/>
          <w:lang w:val="en-US" w:eastAsia="zh-CN" w:bidi="ar"/>
        </w:rPr>
      </w:pPr>
      <w:r>
        <w:rPr>
          <w:rFonts w:hint="default" w:ascii="Times New Roman" w:hAnsi="Times New Roman" w:cs="Times New Roman"/>
          <w:b/>
          <w:bCs/>
          <w:color w:val="auto"/>
          <w:kern w:val="0"/>
          <w:sz w:val="28"/>
          <w:szCs w:val="28"/>
          <w:lang w:val="en-US" w:eastAsia="zh-CN" w:bidi="ar"/>
        </w:rPr>
        <w:t>9.4 污染防治措施及环境影响</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根据本项目工程分析，各单项工程废气产排污量均较小，严格落实各项废气污染防治环保措施后，对当地环境影响较小。 </w:t>
      </w:r>
    </w:p>
    <w:p>
      <w:pPr>
        <w:keepNext w:val="0"/>
        <w:keepLines w:val="0"/>
        <w:widowControl/>
        <w:suppressLineNumbers w:val="0"/>
        <w:ind w:left="0" w:leftChars="0" w:firstLine="0" w:firstLineChars="0"/>
        <w:jc w:val="left"/>
        <w:rPr>
          <w:rFonts w:hint="default" w:ascii="Times New Roman" w:hAnsi="Times New Roman"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9.4.1 废气污染防治措施及环境影响</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TimesNewRomanPS-BoldMT" w:cs="Times New Roman"/>
          <w:b/>
          <w:bCs/>
          <w:color w:val="auto"/>
          <w:kern w:val="0"/>
          <w:sz w:val="24"/>
          <w:szCs w:val="24"/>
          <w:lang w:val="en-US" w:eastAsia="zh-CN" w:bidi="ar"/>
        </w:rPr>
        <w:t>1、</w:t>
      </w:r>
      <w:r>
        <w:rPr>
          <w:rFonts w:hint="default" w:ascii="Times New Roman" w:hAnsi="Times New Roman" w:eastAsia="宋体" w:cs="Times New Roman"/>
          <w:b/>
          <w:bCs/>
          <w:color w:val="auto"/>
          <w:kern w:val="0"/>
          <w:sz w:val="24"/>
          <w:szCs w:val="24"/>
          <w:lang w:val="en-US" w:eastAsia="zh-CN" w:bidi="ar"/>
        </w:rPr>
        <w:t xml:space="preserve">施工期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施工期：项目站场及管线的大气污染物主要是施工扬尘以及各类施工机械和运输车辆所排放的废气。扬尘所形成的环境空气影响为主要因素。</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施工期间，各种施工活动都是短暂的、临时的，各种机械设备废气排放量小，且属间断性无组织排放。施工期废气均为短期露天排放，扩散条件较好，废气对周围环境空气影响较小，随着各单项工程施工的结束环境影响消失，其环境影响在当地环境可接受范围内。项目施工过程严格按照环评提出的扬尘防治措施，并作好与当地村民的沟通工作争取得到沿线居民的理解和支持后，不会对环境造成明显影响。 </w:t>
      </w:r>
    </w:p>
    <w:p>
      <w:pPr>
        <w:keepNext w:val="0"/>
        <w:keepLines w:val="0"/>
        <w:widowControl/>
        <w:suppressLineNumbers w:val="0"/>
        <w:ind w:left="0" w:leftChars="0" w:firstLine="482" w:firstLineChars="200"/>
        <w:jc w:val="left"/>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2、运营期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项目运营过程中主要排放的废气为项目放空过程天然气燃烧产生的废气，主要污染因子为 NO</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和 PM</w:t>
      </w:r>
      <w:r>
        <w:rPr>
          <w:rFonts w:hint="default" w:ascii="Times New Roman" w:hAnsi="Times New Roman" w:eastAsia="宋体" w:cs="Times New Roman"/>
          <w:color w:val="auto"/>
          <w:kern w:val="0"/>
          <w:sz w:val="24"/>
          <w:szCs w:val="24"/>
          <w:vertAlign w:val="subscript"/>
          <w:lang w:val="en-US" w:eastAsia="zh-CN" w:bidi="ar"/>
        </w:rPr>
        <w:t>10</w:t>
      </w:r>
      <w:r>
        <w:rPr>
          <w:rFonts w:hint="default" w:ascii="Times New Roman" w:hAnsi="Times New Roman" w:eastAsia="宋体" w:cs="Times New Roman"/>
          <w:color w:val="auto"/>
          <w:kern w:val="0"/>
          <w:sz w:val="24"/>
          <w:szCs w:val="24"/>
          <w:lang w:val="en-US" w:eastAsia="zh-CN" w:bidi="ar"/>
        </w:rPr>
        <w:t xml:space="preserve">，在采取相应的环保措施后，对周围环境空气影响较小，不会改变项目所在区域环境功能区划，其环境影响在当地环境可接受范围内。但建议加强场区内的管理和设备维护，尽量减少污染物的排放量。 </w:t>
      </w:r>
    </w:p>
    <w:p>
      <w:pPr>
        <w:keepNext w:val="0"/>
        <w:keepLines w:val="0"/>
        <w:widowControl/>
        <w:suppressLineNumbers w:val="0"/>
        <w:ind w:left="0" w:leftChars="0" w:firstLine="0" w:firstLineChars="0"/>
        <w:jc w:val="left"/>
        <w:rPr>
          <w:rFonts w:hint="default" w:ascii="Times New Roman" w:hAnsi="Times New Roman"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9.4.2地表水污染防治措施及环境影响</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bCs/>
          <w:color w:val="auto"/>
          <w:kern w:val="0"/>
          <w:sz w:val="24"/>
          <w:szCs w:val="24"/>
          <w:lang w:val="en-US" w:eastAsia="zh-CN" w:bidi="ar"/>
        </w:rPr>
        <w:t xml:space="preserve">1、施工期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本项目施工期车辆清洗、砂石料拌合及混凝土养护、施工机具保洁等废水，经沉淀池沉淀处理后回用于洒水降尘和混凝土养护用水，不外排；生活污水依托沿线农户已有设施收集预处理；试压废水经沉淀处理后回用于工程或就近排入非环境敏感水体。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施工期应对施工弃渣、施工人员生活垃圾妥善处置；对施工材料堆放严格管理，及时填埋开挖土石；加强穿越河流的施工管理。只要加强施工管理，严格执行本次环评措施，施工期对周围水环境影响较小，在当地环境可接受范围内。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bCs/>
          <w:color w:val="auto"/>
          <w:kern w:val="0"/>
          <w:sz w:val="24"/>
          <w:szCs w:val="24"/>
          <w:lang w:val="en-US" w:eastAsia="zh-CN" w:bidi="ar"/>
        </w:rPr>
        <w:t xml:space="preserve">2、运营期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运营期正常工况下，管道对穿越河流不会造成影响，在发生泄漏事故的状态下，对地表水环境造成一定的影响。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陵江清管站生活污水经处理后，用于厂区绿化或周围农业灌溉；元坝首站依托原有废水处理设施；元坝作业区生活污水接入市政管网，不外排，因此，对地表水环境的影响较小。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本项目运营期产生的各类废水均得到有效处理，正常工况下，本项目建设对当地地表水环境影响小，在当地环境可接受范围内。 </w:t>
      </w:r>
    </w:p>
    <w:p>
      <w:pPr>
        <w:keepNext w:val="0"/>
        <w:keepLines w:val="0"/>
        <w:widowControl/>
        <w:suppressLineNumbers w:val="0"/>
        <w:ind w:left="0" w:leftChars="0" w:firstLine="0" w:firstLineChars="0"/>
        <w:jc w:val="left"/>
        <w:rPr>
          <w:rFonts w:hint="default" w:ascii="Times New Roman" w:hAnsi="Times New Roman"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9.4.3地下水污染防治措施及环境影响</w:t>
      </w:r>
    </w:p>
    <w:p>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项目不涉及地下水饮用水源保护区，项目在管道铺设、定向钻穿越、隧道穿越和场站建设过程中，排放废水量较小，不会对地下水水质造成明显影响。在项目运营过程中，本项目产生的废水可以得到有效处理，不会进入地下水，对地下水造成影响。</w:t>
      </w:r>
    </w:p>
    <w:p>
      <w:pPr>
        <w:keepNext w:val="0"/>
        <w:keepLines w:val="0"/>
        <w:widowControl/>
        <w:suppressLineNumbers w:val="0"/>
        <w:ind w:left="0" w:leftChars="0" w:firstLine="0" w:firstLineChars="0"/>
        <w:jc w:val="left"/>
        <w:rPr>
          <w:rFonts w:hint="default" w:ascii="Times New Roman" w:hAnsi="Times New Roman"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9.4.4噪声污染防治措施及环境影响</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1、施工期</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项目施工期噪声主要由挖掘机、吊管机、电焊机等产生，在同一区域施工时间较短，主要机械在 40m 以外噪声值不超过建筑物施工场界昼间噪声限值 75dB（A）要求。且随着施工期的结束，影响也随之结束。只要严格按照本次评价提出的措施后，项目施工期噪声不会对线路外环境造成明显影响。</w:t>
      </w:r>
    </w:p>
    <w:p>
      <w:pPr>
        <w:keepNext w:val="0"/>
        <w:keepLines w:val="0"/>
        <w:widowControl/>
        <w:numPr>
          <w:ilvl w:val="0"/>
          <w:numId w:val="7"/>
        </w:numPr>
        <w:suppressLineNumbers w:val="0"/>
        <w:ind w:left="0" w:leftChars="0" w:firstLine="723" w:firstLineChars="30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营运期</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本项目在正常运营过程中各场站产生的设备噪声可实现达标排放，不会对场界及外环境造成明显影响，可做到噪声不扰民。在非正常工况下，项目各场站周围会出现噪声超标现象，但由于项目放空持续时间短、频次低，因此项目非正常工况对周边居民的影响较小。 </w:t>
      </w:r>
    </w:p>
    <w:p>
      <w:pPr>
        <w:keepNext w:val="0"/>
        <w:keepLines w:val="0"/>
        <w:widowControl/>
        <w:suppressLineNumbers w:val="0"/>
        <w:ind w:left="0" w:leftChars="0" w:firstLine="0" w:firstLineChars="0"/>
        <w:jc w:val="left"/>
        <w:rPr>
          <w:rFonts w:hint="default" w:ascii="Times New Roman" w:hAnsi="Times New Roman"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9.4.5固体废物污染防治措施及环境影响</w:t>
      </w:r>
    </w:p>
    <w:p>
      <w:pPr>
        <w:keepNext w:val="0"/>
        <w:keepLines w:val="0"/>
        <w:widowControl/>
        <w:suppressLineNumbers w:val="0"/>
        <w:jc w:val="left"/>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1、施工期</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工程管沟开挖产生的临时土石方可实现平衡，无集中弃土产生；工程施工过程中会产生少量建筑垃圾，如包装袋，废弃建筑材料等，其量小，由施工队伍统一收集清运至政府指定地方。集输管道施工废料由施工单位回收利用。对管道进行清管、试压会产生少量废渣，主要为管道内的少量灰尘和铁锈，均属于一般固废，集中收集后委托环卫部门清运处理。钻前工程和地面集输工程施工人员施工期间租住在附近农户，其产生的生活垃圾利用附近农户现有的设施进行收集处置。对环境影响较小 </w:t>
      </w:r>
    </w:p>
    <w:p>
      <w:pPr>
        <w:pStyle w:val="2"/>
        <w:numPr>
          <w:ilvl w:val="0"/>
          <w:numId w:val="0"/>
        </w:numPr>
        <w:ind w:leftChars="30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2、营运期</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营运期采用密闭输气工艺，营运期固体废物主要为各站场职工产生的生活垃圾，经垃圾桶收集后交由市政环卫部门处理，对环境影响较小。 </w:t>
      </w:r>
    </w:p>
    <w:p>
      <w:pPr>
        <w:keepNext w:val="0"/>
        <w:keepLines w:val="0"/>
        <w:widowControl/>
        <w:suppressLineNumbers w:val="0"/>
        <w:ind w:left="0" w:leftChars="0" w:firstLine="0" w:firstLineChars="0"/>
        <w:jc w:val="left"/>
        <w:rPr>
          <w:rFonts w:hint="default" w:ascii="Times New Roman" w:hAnsi="Times New Roman"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9.4.6土壤污染防治措施及环境影响</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bCs/>
          <w:color w:val="auto"/>
          <w:kern w:val="0"/>
          <w:sz w:val="24"/>
          <w:szCs w:val="24"/>
          <w:lang w:val="en-US" w:eastAsia="zh-CN" w:bidi="ar"/>
        </w:rPr>
        <w:t xml:space="preserve">1、施工期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本项目施工期较短，施工期注意各项设备设施的管理，防治油污泄露，临时征地经迹地恢复，污染物进入土壤环境的可能性很小。在严格落实土壤环境污染防控措施的前提下，施工期的土壤环境影响是可以接受的。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b/>
          <w:bCs/>
          <w:color w:val="auto"/>
          <w:kern w:val="0"/>
          <w:sz w:val="24"/>
          <w:szCs w:val="24"/>
          <w:lang w:val="en-US" w:eastAsia="zh-CN" w:bidi="ar"/>
        </w:rPr>
        <w:t xml:space="preserve">2、运营期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运营期永久占地面积小，建设单位在加强环境管理，严格落实清污分流、分区防渗等污染防治措施后，污染物进入土壤环境的可能性很小。根据类比相同地区同类项目运营期土壤环境跟踪监测，同类项目在运营期未对土壤环境造成不利影响。因此，本项目运营期在严格落实污染防治措施的情况下，对土壤环境的影响是接受的。</w:t>
      </w:r>
    </w:p>
    <w:p>
      <w:pPr>
        <w:keepNext w:val="0"/>
        <w:keepLines w:val="0"/>
        <w:widowControl/>
        <w:suppressLineNumbers w:val="0"/>
        <w:ind w:left="0" w:leftChars="0" w:firstLine="0" w:firstLineChars="0"/>
        <w:jc w:val="left"/>
        <w:rPr>
          <w:rFonts w:hint="default" w:ascii="Times New Roman" w:hAnsi="Times New Roman"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 xml:space="preserve">9.4.7社会环境影响 </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1、施工期</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施工人员排放的生活垃圾、生活污水、粪便，如不妥善处置，容易引起鼠、蚊、蝇的孳生，造成工区环境卫生质量下降和疾病传播，危害施工人员身体健康，进而影响工程进度。同时项目建设征地会对居民的农业生产及经济生活带来一定不利影响。如施工期临时占用耕地、耕地、园地和林地面积减少，在当地居民的生产生活工具受到损失，影响其原有生活水平。工程已考虑补偿、生产设施调配等方案。在具体操作过程中要尽量使受影响村民生活水平不低于原有水平。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2、营运期</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本工程建设过程中将投入大量建设资金，项目建成后，可以为沿线县市提供充足稳定的天气气供应，有利于加快沿线的经济建设步伐，为当地居民提供了就业渠道和增加收入的来源</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全面促进当地经济的发展，项目建设对社会环境影响</w:t>
      </w:r>
      <w:r>
        <w:rPr>
          <w:rFonts w:hint="default" w:ascii="Times New Roman" w:hAnsi="Times New Roman" w:cs="Times New Roman"/>
          <w:color w:val="auto"/>
          <w:kern w:val="0"/>
          <w:sz w:val="24"/>
          <w:szCs w:val="24"/>
          <w:lang w:val="en-US" w:eastAsia="zh-CN" w:bidi="ar"/>
        </w:rPr>
        <w:t>有明显的正效益。</w:t>
      </w:r>
    </w:p>
    <w:p>
      <w:pPr>
        <w:keepNext w:val="0"/>
        <w:keepLines w:val="0"/>
        <w:widowControl/>
        <w:suppressLineNumbers w:val="0"/>
        <w:spacing w:line="360" w:lineRule="auto"/>
        <w:ind w:left="0" w:leftChars="0" w:firstLine="0" w:firstLineChars="0"/>
        <w:jc w:val="left"/>
        <w:rPr>
          <w:rFonts w:hint="default" w:ascii="Times New Roman" w:hAnsi="Times New Roman" w:cs="Times New Roman"/>
          <w:b/>
          <w:bCs/>
          <w:color w:val="auto"/>
          <w:kern w:val="0"/>
          <w:sz w:val="28"/>
          <w:szCs w:val="28"/>
          <w:lang w:val="en-US" w:eastAsia="zh-CN" w:bidi="ar"/>
        </w:rPr>
      </w:pPr>
      <w:r>
        <w:rPr>
          <w:rFonts w:hint="default" w:ascii="Times New Roman" w:hAnsi="Times New Roman" w:cs="Times New Roman"/>
          <w:b/>
          <w:bCs/>
          <w:color w:val="auto"/>
          <w:kern w:val="0"/>
          <w:sz w:val="28"/>
          <w:szCs w:val="28"/>
          <w:lang w:val="en-US" w:eastAsia="zh-CN" w:bidi="ar"/>
        </w:rPr>
        <w:t xml:space="preserve">9.5 风险评价结论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本项目事故风险水平低于同类项目事故的总体水平，在进一步采取安全防范措施和事故应急预案，落实各项环保措施和采取本报告书提出建议，确保各项目安全设施实际与执行完整的前提下，基本满足国家相关环境保护和安全法规、标准的要求，在发生不大于本报告设定的最大可信事故的情况下，本项目从环境风险的角度考虑是可行的，但企业仍需提高风险管理水平和强化风险防范措施。 </w:t>
      </w:r>
    </w:p>
    <w:p>
      <w:pPr>
        <w:keepNext w:val="0"/>
        <w:keepLines w:val="0"/>
        <w:widowControl/>
        <w:suppressLineNumbers w:val="0"/>
        <w:spacing w:line="360" w:lineRule="auto"/>
        <w:ind w:left="0" w:leftChars="0" w:firstLine="0" w:firstLineChars="0"/>
        <w:jc w:val="left"/>
        <w:rPr>
          <w:rFonts w:hint="default" w:ascii="Times New Roman" w:hAnsi="Times New Roman" w:cs="Times New Roman"/>
          <w:b/>
          <w:bCs/>
          <w:color w:val="auto"/>
          <w:kern w:val="0"/>
          <w:sz w:val="36"/>
          <w:szCs w:val="36"/>
          <w:lang w:val="en-US" w:eastAsia="zh-CN" w:bidi="ar"/>
        </w:rPr>
      </w:pPr>
      <w:r>
        <w:rPr>
          <w:rFonts w:hint="default" w:ascii="Times New Roman" w:hAnsi="Times New Roman" w:cs="Times New Roman"/>
          <w:b/>
          <w:bCs/>
          <w:color w:val="auto"/>
          <w:kern w:val="0"/>
          <w:sz w:val="28"/>
          <w:szCs w:val="28"/>
          <w:lang w:val="en-US" w:eastAsia="zh-CN" w:bidi="ar"/>
        </w:rPr>
        <w:t>9.6 污染物总量控制</w:t>
      </w:r>
      <w:r>
        <w:rPr>
          <w:rFonts w:hint="default" w:ascii="Times New Roman" w:hAnsi="Times New Roman" w:cs="Times New Roman"/>
          <w:b/>
          <w:bCs/>
          <w:color w:val="auto"/>
          <w:kern w:val="0"/>
          <w:sz w:val="36"/>
          <w:szCs w:val="36"/>
          <w:lang w:val="en-US" w:eastAsia="zh-CN" w:bidi="ar"/>
        </w:rPr>
        <w:t xml:space="preserve">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本项目陵江清管站产生的生活污水经化粪池收集后，处理后用于场站绿化或周围农户的农灌，不外排，元坝作业区生活污水经收集处理后进入市政管网。因此本工程 无直排COD</w:t>
      </w:r>
      <w:r>
        <w:rPr>
          <w:rFonts w:hint="default" w:ascii="Times New Roman" w:hAnsi="Times New Roman" w:eastAsia="宋体" w:cs="Times New Roman"/>
          <w:color w:val="auto"/>
          <w:kern w:val="0"/>
          <w:sz w:val="16"/>
          <w:szCs w:val="16"/>
          <w:lang w:val="en-US" w:eastAsia="zh-CN" w:bidi="ar"/>
        </w:rPr>
        <w:t xml:space="preserve">Cr </w:t>
      </w:r>
      <w:r>
        <w:rPr>
          <w:rFonts w:hint="default" w:ascii="Times New Roman" w:hAnsi="Times New Roman" w:eastAsia="宋体" w:cs="Times New Roman"/>
          <w:color w:val="auto"/>
          <w:kern w:val="0"/>
          <w:sz w:val="24"/>
          <w:szCs w:val="24"/>
          <w:lang w:val="en-US" w:eastAsia="zh-CN" w:bidi="ar"/>
        </w:rPr>
        <w:t>和氨氮。</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本项目为天然气输送项目，在项目正常运行过程中，项目不对外排放废气，因此，项目 SO</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 xml:space="preserve"> 和 NO</w:t>
      </w:r>
      <w:r>
        <w:rPr>
          <w:rFonts w:hint="default" w:ascii="Times New Roman" w:hAnsi="Times New Roman" w:eastAsia="宋体" w:cs="Times New Roman"/>
          <w:color w:val="auto"/>
          <w:kern w:val="0"/>
          <w:sz w:val="24"/>
          <w:szCs w:val="24"/>
          <w:vertAlign w:val="subscript"/>
          <w:lang w:val="en-US" w:eastAsia="zh-CN" w:bidi="ar"/>
        </w:rPr>
        <w:t>x</w:t>
      </w:r>
      <w:r>
        <w:rPr>
          <w:rFonts w:hint="default" w:ascii="Times New Roman" w:hAnsi="Times New Roman" w:eastAsia="宋体" w:cs="Times New Roman"/>
          <w:color w:val="auto"/>
          <w:kern w:val="0"/>
          <w:sz w:val="24"/>
          <w:szCs w:val="24"/>
          <w:lang w:val="en-US" w:eastAsia="zh-CN" w:bidi="ar"/>
        </w:rPr>
        <w:t xml:space="preserve"> 外排量为零。因此，项目不设置总量控制指标。 </w:t>
      </w:r>
    </w:p>
    <w:p>
      <w:pPr>
        <w:keepNext w:val="0"/>
        <w:keepLines w:val="0"/>
        <w:widowControl/>
        <w:suppressLineNumbers w:val="0"/>
        <w:spacing w:line="360" w:lineRule="auto"/>
        <w:ind w:left="0" w:leftChars="0" w:firstLine="0" w:firstLineChars="0"/>
        <w:jc w:val="left"/>
        <w:rPr>
          <w:rFonts w:hint="default" w:ascii="Times New Roman" w:hAnsi="Times New Roman" w:cs="Times New Roman"/>
          <w:b/>
          <w:bCs/>
          <w:color w:val="auto"/>
          <w:kern w:val="0"/>
          <w:sz w:val="28"/>
          <w:szCs w:val="28"/>
          <w:lang w:val="en-US" w:eastAsia="zh-CN" w:bidi="ar"/>
        </w:rPr>
      </w:pPr>
      <w:r>
        <w:rPr>
          <w:rFonts w:hint="default" w:ascii="Times New Roman" w:hAnsi="Times New Roman" w:cs="Times New Roman"/>
          <w:b/>
          <w:bCs/>
          <w:color w:val="auto"/>
          <w:kern w:val="0"/>
          <w:sz w:val="28"/>
          <w:szCs w:val="28"/>
          <w:lang w:val="en-US" w:eastAsia="zh-CN" w:bidi="ar"/>
        </w:rPr>
        <w:t xml:space="preserve">9.7 公众参与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建设单位开展的本项目环评公众参与资料，本项目按照《环境影响评价公众参与办法》有关要求开展了两次信息公示，采取了网络、报纸、张贴公告相结合的公开方式，公示期间未收到任何公众提交的公众意见。</w:t>
      </w:r>
    </w:p>
    <w:p>
      <w:pPr>
        <w:keepNext w:val="0"/>
        <w:keepLines w:val="0"/>
        <w:widowControl/>
        <w:suppressLineNumbers w:val="0"/>
        <w:spacing w:line="360" w:lineRule="auto"/>
        <w:ind w:left="0" w:leftChars="0" w:firstLine="0" w:firstLineChars="0"/>
        <w:jc w:val="left"/>
        <w:rPr>
          <w:rFonts w:hint="default" w:ascii="Times New Roman" w:hAnsi="Times New Roman" w:cs="Times New Roman"/>
          <w:b/>
          <w:bCs/>
          <w:color w:val="auto"/>
          <w:kern w:val="0"/>
          <w:sz w:val="28"/>
          <w:szCs w:val="28"/>
          <w:lang w:val="en-US" w:eastAsia="zh-CN" w:bidi="ar"/>
        </w:rPr>
      </w:pPr>
      <w:r>
        <w:rPr>
          <w:rFonts w:hint="default" w:ascii="Times New Roman" w:hAnsi="Times New Roman" w:cs="Times New Roman"/>
          <w:b/>
          <w:bCs/>
          <w:color w:val="auto"/>
          <w:kern w:val="0"/>
          <w:sz w:val="28"/>
          <w:szCs w:val="28"/>
          <w:lang w:val="en-US" w:eastAsia="zh-CN" w:bidi="ar"/>
        </w:rPr>
        <w:t xml:space="preserve">9.8 综合结论 </w:t>
      </w:r>
    </w:p>
    <w:p>
      <w:pPr>
        <w:keepNext w:val="0"/>
        <w:keepLines w:val="0"/>
        <w:widowControl/>
        <w:suppressLineNumbers w:val="0"/>
        <w:jc w:val="left"/>
        <w:rPr>
          <w:rFonts w:hint="default" w:ascii="Times New Roman" w:hAnsi="Times New Roman"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建设符合国家产业政策和区域相关规划要求。项目在施工过程中不可避免地对沿线两侧一定范围的生态环境、水环境、声环境、环境空气等产生一定程度的负面影响，在项目建成后施工期产生的水环境、声环境、环境空气会随即消失，生态影响多属临时性、可恢复的，并予以了补偿。在项目运营过程中各类污染物均可达标排放，其对环境影响较小，环境风险在可接受程度内，污染防治措施配套可行。因此，在落实本报告提出的各项污染防治、生态保护、风险控制等措施和应急预案后，从环境保护角度考虑，本项目是可行的</w:t>
      </w:r>
      <w:r>
        <w:rPr>
          <w:rFonts w:hint="default" w:ascii="Times New Roman" w:hAnsi="Times New Roman" w:cs="Times New Roman"/>
          <w:color w:val="auto"/>
          <w:kern w:val="0"/>
          <w:sz w:val="24"/>
          <w:szCs w:val="24"/>
          <w:lang w:val="en-US" w:eastAsia="zh-CN" w:bidi="ar"/>
        </w:rPr>
        <w:t>。</w:t>
      </w:r>
    </w:p>
    <w:p>
      <w:pPr>
        <w:keepNext w:val="0"/>
        <w:keepLines w:val="0"/>
        <w:widowControl/>
        <w:suppressLineNumbers w:val="0"/>
        <w:spacing w:line="360" w:lineRule="auto"/>
        <w:ind w:left="0" w:leftChars="0" w:firstLine="0" w:firstLineChars="0"/>
        <w:jc w:val="left"/>
        <w:rPr>
          <w:rFonts w:hint="default" w:ascii="Times New Roman" w:hAnsi="Times New Roman" w:cs="Times New Roman"/>
          <w:b/>
          <w:bCs/>
          <w:color w:val="auto"/>
          <w:kern w:val="0"/>
          <w:sz w:val="28"/>
          <w:szCs w:val="28"/>
          <w:lang w:val="en-US" w:eastAsia="zh-CN" w:bidi="ar"/>
        </w:rPr>
      </w:pPr>
      <w:r>
        <w:rPr>
          <w:rFonts w:hint="default" w:ascii="Times New Roman" w:hAnsi="Times New Roman" w:cs="Times New Roman"/>
          <w:b/>
          <w:bCs/>
          <w:color w:val="auto"/>
          <w:kern w:val="0"/>
          <w:sz w:val="28"/>
          <w:szCs w:val="28"/>
          <w:lang w:val="en-US" w:eastAsia="zh-CN" w:bidi="ar"/>
        </w:rPr>
        <w:t xml:space="preserve">9.9 建议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（1）本项目在具体实施单项工程前，需到当地自然资源和规划局办理规划许可的相关证明文件后，方可开工建设。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（2）严格落实各项环保措施，尽量降低对周边环境的影响；做好周边居民沟通协商工作，避免噪声扰民。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（3）根据当地情况完善突发事故应急预案，项目施工期和运营期严格执行各项操作规程，严格落实各项环境风险防范措施，降低事故发生概率和在事故发生时能将危害控制在最低限度。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（4）配合当地政府妥善解决好占用土地、毁坏道路、作物、植被等所造成的恢复赔偿问题。 </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（5）项目建设完成后，对周围环境进行跟踪监测。 </w:t>
      </w:r>
    </w:p>
    <w:p>
      <w:pPr>
        <w:pStyle w:val="2"/>
        <w:jc w:val="both"/>
        <w:rPr>
          <w:rFonts w:hint="default" w:ascii="Times New Roman" w:hAnsi="Times New Roman" w:cs="Times New Roman"/>
          <w:color w:val="auto"/>
          <w:lang w:val="en-US" w:eastAsia="zh-CN"/>
        </w:rPr>
      </w:pPr>
    </w:p>
    <w:p>
      <w:pPr>
        <w:keepNext w:val="0"/>
        <w:keepLines w:val="0"/>
        <w:widowControl/>
        <w:suppressLineNumbers w:val="0"/>
        <w:ind w:left="0" w:leftChars="0" w:firstLine="0" w:firstLineChars="0"/>
        <w:jc w:val="left"/>
        <w:rPr>
          <w:rFonts w:hint="default" w:ascii="Times New Roman" w:hAnsi="Times New Roman" w:cs="Times New Roman"/>
          <w:b/>
          <w:bCs/>
          <w:color w:val="auto"/>
          <w:lang w:val="en-US" w:eastAsia="zh-CN"/>
        </w:rPr>
      </w:pPr>
    </w:p>
    <w:sectPr>
      <w:pgSz w:w="11906" w:h="16838"/>
      <w:pgMar w:top="1814" w:right="1474" w:bottom="1474" w:left="1474" w:header="851" w:footer="992" w:gutter="0"/>
      <w:pgBorders w:offsetFrom="page">
        <w:top w:val="none" w:sz="0" w:space="0"/>
        <w:left w:val="none" w:sz="0" w:space="0"/>
        <w:bottom w:val="none" w:sz="0" w:space="0"/>
        <w:right w:val="none" w:sz="0" w:space="0"/>
      </w:pgBorders>
      <w:pgNumType w:fmt="decimal"/>
      <w:cols w:space="0" w:num="1"/>
      <w:rtlGutter w:val="0"/>
      <w:docGrid w:type="lines" w:linePitch="33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新宋体-18030">
    <w:altName w:val="宋体"/>
    <w:panose1 w:val="00000000000000000000"/>
    <w:charset w:val="00"/>
    <w:family w:val="auto"/>
    <w:pitch w:val="default"/>
    <w:sig w:usb0="00000000" w:usb1="00000000" w:usb2="00000000" w:usb3="00000000" w:csb0="00040001"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TimesNewRomanPS-BoldMT">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ÃƒÆ’Ã‚Â¥Ãƒâ€šÃ‚Â®ÃƒÂ¢Ã¢â€šÂ¬Ã‚Â¹ÃƒÆ’Ã‚Â¤Ãƒâ€šÃ‚Â½ÃƒÂ¢Ã¢â€šÂ¬Ã…â€">
    <w:altName w:val="AMGD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294522"/>
    <w:multiLevelType w:val="singleLevel"/>
    <w:tmpl w:val="83294522"/>
    <w:lvl w:ilvl="0" w:tentative="0">
      <w:start w:val="1"/>
      <w:numFmt w:val="decimal"/>
      <w:suff w:val="nothing"/>
      <w:lvlText w:val="%1、"/>
      <w:lvlJc w:val="left"/>
    </w:lvl>
  </w:abstractNum>
  <w:abstractNum w:abstractNumId="1">
    <w:nsid w:val="A51E61DB"/>
    <w:multiLevelType w:val="singleLevel"/>
    <w:tmpl w:val="A51E61DB"/>
    <w:lvl w:ilvl="0" w:tentative="0">
      <w:start w:val="6"/>
      <w:numFmt w:val="chineseCounting"/>
      <w:suff w:val="space"/>
      <w:lvlText w:val="第%1章"/>
      <w:lvlJc w:val="left"/>
      <w:rPr>
        <w:rFonts w:hint="eastAsia"/>
      </w:rPr>
    </w:lvl>
  </w:abstractNum>
  <w:abstractNum w:abstractNumId="2">
    <w:nsid w:val="C3FAB1C2"/>
    <w:multiLevelType w:val="singleLevel"/>
    <w:tmpl w:val="C3FAB1C2"/>
    <w:lvl w:ilvl="0" w:tentative="0">
      <w:start w:val="1"/>
      <w:numFmt w:val="decimal"/>
      <w:suff w:val="nothing"/>
      <w:lvlText w:val="%1、"/>
      <w:lvlJc w:val="left"/>
    </w:lvl>
  </w:abstractNum>
  <w:abstractNum w:abstractNumId="3">
    <w:nsid w:val="F3859DC0"/>
    <w:multiLevelType w:val="singleLevel"/>
    <w:tmpl w:val="F3859DC0"/>
    <w:lvl w:ilvl="0" w:tentative="0">
      <w:start w:val="1"/>
      <w:numFmt w:val="decimal"/>
      <w:suff w:val="nothing"/>
      <w:lvlText w:val="（%1）"/>
      <w:lvlJc w:val="left"/>
    </w:lvl>
  </w:abstractNum>
  <w:abstractNum w:abstractNumId="4">
    <w:nsid w:val="F45F405C"/>
    <w:multiLevelType w:val="singleLevel"/>
    <w:tmpl w:val="F45F405C"/>
    <w:lvl w:ilvl="0" w:tentative="0">
      <w:start w:val="2"/>
      <w:numFmt w:val="decimal"/>
      <w:suff w:val="nothing"/>
      <w:lvlText w:val="%1、"/>
      <w:lvlJc w:val="left"/>
    </w:lvl>
  </w:abstractNum>
  <w:abstractNum w:abstractNumId="5">
    <w:nsid w:val="FAFDBA2D"/>
    <w:multiLevelType w:val="singleLevel"/>
    <w:tmpl w:val="FAFDBA2D"/>
    <w:lvl w:ilvl="0" w:tentative="0">
      <w:start w:val="1"/>
      <w:numFmt w:val="decimal"/>
      <w:suff w:val="space"/>
      <w:lvlText w:val="%1)"/>
      <w:lvlJc w:val="left"/>
    </w:lvl>
  </w:abstractNum>
  <w:abstractNum w:abstractNumId="6">
    <w:nsid w:val="0D385867"/>
    <w:multiLevelType w:val="singleLevel"/>
    <w:tmpl w:val="0D385867"/>
    <w:lvl w:ilvl="0" w:tentative="0">
      <w:start w:val="2"/>
      <w:numFmt w:val="decimal"/>
      <w:suff w:val="nothing"/>
      <w:lvlText w:val="（%1）"/>
      <w:lvlJc w:val="left"/>
    </w:lvl>
  </w:abstractNum>
  <w:abstractNum w:abstractNumId="7">
    <w:nsid w:val="54BCD595"/>
    <w:multiLevelType w:val="singleLevel"/>
    <w:tmpl w:val="54BCD595"/>
    <w:lvl w:ilvl="0" w:tentative="0">
      <w:start w:val="1"/>
      <w:numFmt w:val="chineseCounting"/>
      <w:suff w:val="nothing"/>
      <w:lvlText w:val="%1、"/>
      <w:lvlJc w:val="left"/>
      <w:rPr>
        <w:rFonts w:hint="eastAsia"/>
      </w:rPr>
    </w:lvl>
  </w:abstractNum>
  <w:abstractNum w:abstractNumId="8">
    <w:nsid w:val="59CFA512"/>
    <w:multiLevelType w:val="singleLevel"/>
    <w:tmpl w:val="59CFA512"/>
    <w:lvl w:ilvl="0" w:tentative="0">
      <w:start w:val="2"/>
      <w:numFmt w:val="decimal"/>
      <w:suff w:val="nothing"/>
      <w:lvlText w:val="%1、"/>
      <w:lvlJc w:val="left"/>
    </w:lvl>
  </w:abstractNum>
  <w:abstractNum w:abstractNumId="9">
    <w:nsid w:val="66CDA820"/>
    <w:multiLevelType w:val="singleLevel"/>
    <w:tmpl w:val="66CDA820"/>
    <w:lvl w:ilvl="0" w:tentative="0">
      <w:start w:val="3"/>
      <w:numFmt w:val="decimal"/>
      <w:suff w:val="nothing"/>
      <w:lvlText w:val="%1）"/>
      <w:lvlJc w:val="left"/>
    </w:lvl>
  </w:abstractNum>
  <w:num w:numId="1">
    <w:abstractNumId w:val="7"/>
  </w:num>
  <w:num w:numId="2">
    <w:abstractNumId w:val="8"/>
  </w:num>
  <w:num w:numId="3">
    <w:abstractNumId w:val="9"/>
  </w:num>
  <w:num w:numId="4">
    <w:abstractNumId w:val="5"/>
  </w:num>
  <w:num w:numId="5">
    <w:abstractNumId w:val="0"/>
  </w:num>
  <w:num w:numId="6">
    <w:abstractNumId w:val="4"/>
  </w:num>
  <w:num w:numId="7">
    <w:abstractNumId w:val="2"/>
  </w:num>
  <w:num w:numId="8">
    <w:abstractNumId w:val="3"/>
  </w:num>
  <w:num w:numId="9">
    <w:abstractNumId w:val="1"/>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65"/>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17626C"/>
    <w:rsid w:val="00560B45"/>
    <w:rsid w:val="006F7CA7"/>
    <w:rsid w:val="008662E8"/>
    <w:rsid w:val="009C37BB"/>
    <w:rsid w:val="00E4074F"/>
    <w:rsid w:val="014A6B1C"/>
    <w:rsid w:val="01757B70"/>
    <w:rsid w:val="01B37685"/>
    <w:rsid w:val="028547C7"/>
    <w:rsid w:val="0383740B"/>
    <w:rsid w:val="03E43641"/>
    <w:rsid w:val="04517C96"/>
    <w:rsid w:val="04CA7920"/>
    <w:rsid w:val="053634E7"/>
    <w:rsid w:val="059C30BA"/>
    <w:rsid w:val="05C55094"/>
    <w:rsid w:val="05E94902"/>
    <w:rsid w:val="06D00984"/>
    <w:rsid w:val="06F331B7"/>
    <w:rsid w:val="06FE6D03"/>
    <w:rsid w:val="070E3D4C"/>
    <w:rsid w:val="071271C3"/>
    <w:rsid w:val="08233FCE"/>
    <w:rsid w:val="082531DF"/>
    <w:rsid w:val="084E1EFA"/>
    <w:rsid w:val="08785705"/>
    <w:rsid w:val="08922AB9"/>
    <w:rsid w:val="089263CE"/>
    <w:rsid w:val="08DF64FD"/>
    <w:rsid w:val="097617EC"/>
    <w:rsid w:val="09895546"/>
    <w:rsid w:val="09A80951"/>
    <w:rsid w:val="09FC40AB"/>
    <w:rsid w:val="0A5F3931"/>
    <w:rsid w:val="0AAF7E33"/>
    <w:rsid w:val="0AF0623D"/>
    <w:rsid w:val="0AFC083B"/>
    <w:rsid w:val="0B02555D"/>
    <w:rsid w:val="0B3D23FE"/>
    <w:rsid w:val="0BC27A56"/>
    <w:rsid w:val="0C9919A8"/>
    <w:rsid w:val="0CEC4E59"/>
    <w:rsid w:val="0D5A0A65"/>
    <w:rsid w:val="0D657D02"/>
    <w:rsid w:val="0DB53419"/>
    <w:rsid w:val="0DF36DAB"/>
    <w:rsid w:val="0EB366DD"/>
    <w:rsid w:val="0EB863AA"/>
    <w:rsid w:val="0EB97648"/>
    <w:rsid w:val="0F492DCA"/>
    <w:rsid w:val="0FB61898"/>
    <w:rsid w:val="0FD53A0B"/>
    <w:rsid w:val="0FF22856"/>
    <w:rsid w:val="0FF26202"/>
    <w:rsid w:val="0FF95AE0"/>
    <w:rsid w:val="103A3305"/>
    <w:rsid w:val="10662FE3"/>
    <w:rsid w:val="10C1512B"/>
    <w:rsid w:val="10FD74B8"/>
    <w:rsid w:val="115B024E"/>
    <w:rsid w:val="135F4FA4"/>
    <w:rsid w:val="13834B92"/>
    <w:rsid w:val="140A0501"/>
    <w:rsid w:val="146835F6"/>
    <w:rsid w:val="15145A5E"/>
    <w:rsid w:val="155258F0"/>
    <w:rsid w:val="156D7F61"/>
    <w:rsid w:val="15841B8D"/>
    <w:rsid w:val="15A81719"/>
    <w:rsid w:val="15D573CD"/>
    <w:rsid w:val="162F3CA3"/>
    <w:rsid w:val="163A67BF"/>
    <w:rsid w:val="16942C6B"/>
    <w:rsid w:val="16F47179"/>
    <w:rsid w:val="173049E5"/>
    <w:rsid w:val="17773FD2"/>
    <w:rsid w:val="187B151A"/>
    <w:rsid w:val="189B4D68"/>
    <w:rsid w:val="18BC7BB6"/>
    <w:rsid w:val="190A31BB"/>
    <w:rsid w:val="1A197FD7"/>
    <w:rsid w:val="1AED2C71"/>
    <w:rsid w:val="1B14668E"/>
    <w:rsid w:val="1B1A0AB1"/>
    <w:rsid w:val="1B2E1A0A"/>
    <w:rsid w:val="1B40687D"/>
    <w:rsid w:val="1BBC1B56"/>
    <w:rsid w:val="1BE16DBB"/>
    <w:rsid w:val="1BE248B7"/>
    <w:rsid w:val="1BF27DD8"/>
    <w:rsid w:val="1CCB169D"/>
    <w:rsid w:val="1D197F58"/>
    <w:rsid w:val="1D452400"/>
    <w:rsid w:val="1D4B4641"/>
    <w:rsid w:val="1D62313D"/>
    <w:rsid w:val="1D851EE3"/>
    <w:rsid w:val="1D9C3AF4"/>
    <w:rsid w:val="1DFD3AF1"/>
    <w:rsid w:val="1E427242"/>
    <w:rsid w:val="1E4F3CA3"/>
    <w:rsid w:val="1E5F395B"/>
    <w:rsid w:val="1E8C512A"/>
    <w:rsid w:val="1FD70B92"/>
    <w:rsid w:val="1FEA6AF7"/>
    <w:rsid w:val="20282E35"/>
    <w:rsid w:val="21BF0293"/>
    <w:rsid w:val="222E77E7"/>
    <w:rsid w:val="22431E57"/>
    <w:rsid w:val="22C974A2"/>
    <w:rsid w:val="231B2FBA"/>
    <w:rsid w:val="23636150"/>
    <w:rsid w:val="236E0A36"/>
    <w:rsid w:val="23EA73F0"/>
    <w:rsid w:val="24073122"/>
    <w:rsid w:val="242C72C6"/>
    <w:rsid w:val="24576F86"/>
    <w:rsid w:val="2479708D"/>
    <w:rsid w:val="248E4540"/>
    <w:rsid w:val="249037B1"/>
    <w:rsid w:val="24923F27"/>
    <w:rsid w:val="24C63B1E"/>
    <w:rsid w:val="25757745"/>
    <w:rsid w:val="258D749B"/>
    <w:rsid w:val="260A1B1C"/>
    <w:rsid w:val="26571C05"/>
    <w:rsid w:val="26B37854"/>
    <w:rsid w:val="26EE4714"/>
    <w:rsid w:val="27643386"/>
    <w:rsid w:val="27887265"/>
    <w:rsid w:val="27BB40C4"/>
    <w:rsid w:val="27C45CB5"/>
    <w:rsid w:val="28061D5C"/>
    <w:rsid w:val="2838612D"/>
    <w:rsid w:val="28685AB3"/>
    <w:rsid w:val="28A14D0D"/>
    <w:rsid w:val="28A80331"/>
    <w:rsid w:val="28AE599B"/>
    <w:rsid w:val="28B93627"/>
    <w:rsid w:val="28BF56AD"/>
    <w:rsid w:val="28E559B5"/>
    <w:rsid w:val="296175D1"/>
    <w:rsid w:val="29923C23"/>
    <w:rsid w:val="29C10779"/>
    <w:rsid w:val="29E952FA"/>
    <w:rsid w:val="2A0A2105"/>
    <w:rsid w:val="2A2B4F7E"/>
    <w:rsid w:val="2BFB3B25"/>
    <w:rsid w:val="2C887E30"/>
    <w:rsid w:val="2C8C02FA"/>
    <w:rsid w:val="2CFA1C3E"/>
    <w:rsid w:val="2D104E8F"/>
    <w:rsid w:val="2D8E415B"/>
    <w:rsid w:val="2DB76992"/>
    <w:rsid w:val="2DC010BF"/>
    <w:rsid w:val="2DD501FE"/>
    <w:rsid w:val="2E0269A5"/>
    <w:rsid w:val="2E7478DA"/>
    <w:rsid w:val="2F0E76F5"/>
    <w:rsid w:val="2F6B38F1"/>
    <w:rsid w:val="2FD336D3"/>
    <w:rsid w:val="2FF770D3"/>
    <w:rsid w:val="30347A5C"/>
    <w:rsid w:val="304C72A8"/>
    <w:rsid w:val="30AC136D"/>
    <w:rsid w:val="30B22F42"/>
    <w:rsid w:val="30E374D4"/>
    <w:rsid w:val="30EB5106"/>
    <w:rsid w:val="30F3353A"/>
    <w:rsid w:val="318A5C80"/>
    <w:rsid w:val="31CF6C03"/>
    <w:rsid w:val="31D561B5"/>
    <w:rsid w:val="320B1882"/>
    <w:rsid w:val="32441F69"/>
    <w:rsid w:val="325131F9"/>
    <w:rsid w:val="32A6019D"/>
    <w:rsid w:val="32AD31FE"/>
    <w:rsid w:val="32BD1A96"/>
    <w:rsid w:val="32F40FEB"/>
    <w:rsid w:val="32F840B9"/>
    <w:rsid w:val="3419520D"/>
    <w:rsid w:val="346C3260"/>
    <w:rsid w:val="34C204D9"/>
    <w:rsid w:val="34CE2786"/>
    <w:rsid w:val="35072E28"/>
    <w:rsid w:val="359733FB"/>
    <w:rsid w:val="3626081A"/>
    <w:rsid w:val="36421D5D"/>
    <w:rsid w:val="367C02AE"/>
    <w:rsid w:val="368106F6"/>
    <w:rsid w:val="36C17724"/>
    <w:rsid w:val="36D82450"/>
    <w:rsid w:val="36D87E3A"/>
    <w:rsid w:val="36F46B6E"/>
    <w:rsid w:val="37534901"/>
    <w:rsid w:val="37705F2F"/>
    <w:rsid w:val="377C2B59"/>
    <w:rsid w:val="38956A90"/>
    <w:rsid w:val="38D33A8A"/>
    <w:rsid w:val="38D92FC0"/>
    <w:rsid w:val="390E2362"/>
    <w:rsid w:val="394027FA"/>
    <w:rsid w:val="397062A7"/>
    <w:rsid w:val="39752D10"/>
    <w:rsid w:val="3A7E0445"/>
    <w:rsid w:val="3A855BD2"/>
    <w:rsid w:val="3B7365D8"/>
    <w:rsid w:val="3BB82C3D"/>
    <w:rsid w:val="3BFF362F"/>
    <w:rsid w:val="3CD16B33"/>
    <w:rsid w:val="3D356B89"/>
    <w:rsid w:val="3D881151"/>
    <w:rsid w:val="3E161D1F"/>
    <w:rsid w:val="3E2B0759"/>
    <w:rsid w:val="3E7408AD"/>
    <w:rsid w:val="3EA14F99"/>
    <w:rsid w:val="3F22088F"/>
    <w:rsid w:val="403706E4"/>
    <w:rsid w:val="403856EA"/>
    <w:rsid w:val="41001461"/>
    <w:rsid w:val="412D44E9"/>
    <w:rsid w:val="413F4B71"/>
    <w:rsid w:val="415A471D"/>
    <w:rsid w:val="4173165D"/>
    <w:rsid w:val="41B0017F"/>
    <w:rsid w:val="41DE4502"/>
    <w:rsid w:val="41E05856"/>
    <w:rsid w:val="421B2B4F"/>
    <w:rsid w:val="422779C8"/>
    <w:rsid w:val="422D32D0"/>
    <w:rsid w:val="423539E5"/>
    <w:rsid w:val="425F1C4B"/>
    <w:rsid w:val="42AD714B"/>
    <w:rsid w:val="42C27B88"/>
    <w:rsid w:val="431E5ECC"/>
    <w:rsid w:val="432D5DC3"/>
    <w:rsid w:val="44385E61"/>
    <w:rsid w:val="44434B2B"/>
    <w:rsid w:val="44C7041D"/>
    <w:rsid w:val="456441A8"/>
    <w:rsid w:val="46071128"/>
    <w:rsid w:val="466168D2"/>
    <w:rsid w:val="46CD27F3"/>
    <w:rsid w:val="46F32AD4"/>
    <w:rsid w:val="47F3267E"/>
    <w:rsid w:val="483609F7"/>
    <w:rsid w:val="48467C65"/>
    <w:rsid w:val="48F91B34"/>
    <w:rsid w:val="497F3E85"/>
    <w:rsid w:val="49D42B69"/>
    <w:rsid w:val="49E92A57"/>
    <w:rsid w:val="49EE44F3"/>
    <w:rsid w:val="4A0F6E29"/>
    <w:rsid w:val="4B036888"/>
    <w:rsid w:val="4B5A0EBE"/>
    <w:rsid w:val="4BCA2DD3"/>
    <w:rsid w:val="4C4335E4"/>
    <w:rsid w:val="4C582022"/>
    <w:rsid w:val="4C7A3257"/>
    <w:rsid w:val="4C7F3058"/>
    <w:rsid w:val="4C953649"/>
    <w:rsid w:val="4C983F28"/>
    <w:rsid w:val="4CC25772"/>
    <w:rsid w:val="4CF438D1"/>
    <w:rsid w:val="4D0C050F"/>
    <w:rsid w:val="4D4821B9"/>
    <w:rsid w:val="4D884C50"/>
    <w:rsid w:val="4E030D55"/>
    <w:rsid w:val="4E8C074B"/>
    <w:rsid w:val="4EC6542C"/>
    <w:rsid w:val="4EE84BBE"/>
    <w:rsid w:val="4F4F60C3"/>
    <w:rsid w:val="4F77340B"/>
    <w:rsid w:val="50454301"/>
    <w:rsid w:val="50626C77"/>
    <w:rsid w:val="50955548"/>
    <w:rsid w:val="50E6767F"/>
    <w:rsid w:val="51085BD0"/>
    <w:rsid w:val="51366916"/>
    <w:rsid w:val="51496B90"/>
    <w:rsid w:val="51587428"/>
    <w:rsid w:val="51D028CA"/>
    <w:rsid w:val="52336298"/>
    <w:rsid w:val="52B03753"/>
    <w:rsid w:val="52B508AB"/>
    <w:rsid w:val="530F363F"/>
    <w:rsid w:val="53A34246"/>
    <w:rsid w:val="53A90E70"/>
    <w:rsid w:val="540A600C"/>
    <w:rsid w:val="54142CFC"/>
    <w:rsid w:val="541C44C0"/>
    <w:rsid w:val="5461681E"/>
    <w:rsid w:val="547670B0"/>
    <w:rsid w:val="55233F7F"/>
    <w:rsid w:val="554936BC"/>
    <w:rsid w:val="555A626C"/>
    <w:rsid w:val="558428D7"/>
    <w:rsid w:val="55A901C1"/>
    <w:rsid w:val="56D122A5"/>
    <w:rsid w:val="578A072B"/>
    <w:rsid w:val="57A12394"/>
    <w:rsid w:val="57E23960"/>
    <w:rsid w:val="57FA2EE6"/>
    <w:rsid w:val="584F79F6"/>
    <w:rsid w:val="58D31B89"/>
    <w:rsid w:val="597C66D6"/>
    <w:rsid w:val="5A4850FE"/>
    <w:rsid w:val="5A56784C"/>
    <w:rsid w:val="5AAC38D4"/>
    <w:rsid w:val="5AF56BDF"/>
    <w:rsid w:val="5AFB737A"/>
    <w:rsid w:val="5AFD209D"/>
    <w:rsid w:val="5B622E17"/>
    <w:rsid w:val="5B8D134E"/>
    <w:rsid w:val="5BBC3113"/>
    <w:rsid w:val="5C0A0193"/>
    <w:rsid w:val="5C353DD6"/>
    <w:rsid w:val="5CBA3DE2"/>
    <w:rsid w:val="5D1638BB"/>
    <w:rsid w:val="5D1B66D8"/>
    <w:rsid w:val="5D1E26EE"/>
    <w:rsid w:val="5D8461FA"/>
    <w:rsid w:val="5E1820A3"/>
    <w:rsid w:val="5E402F05"/>
    <w:rsid w:val="5E4A12D3"/>
    <w:rsid w:val="5E9A456C"/>
    <w:rsid w:val="5EC32D65"/>
    <w:rsid w:val="5F37725F"/>
    <w:rsid w:val="5F9E287D"/>
    <w:rsid w:val="5FA26654"/>
    <w:rsid w:val="60153E08"/>
    <w:rsid w:val="605942AA"/>
    <w:rsid w:val="60CC50A6"/>
    <w:rsid w:val="60CE7D12"/>
    <w:rsid w:val="60EF372A"/>
    <w:rsid w:val="61A64CCA"/>
    <w:rsid w:val="61A92184"/>
    <w:rsid w:val="61DF3DB7"/>
    <w:rsid w:val="61E0720A"/>
    <w:rsid w:val="628B0FFA"/>
    <w:rsid w:val="62A879CD"/>
    <w:rsid w:val="62AC26FD"/>
    <w:rsid w:val="633308EE"/>
    <w:rsid w:val="638F12DA"/>
    <w:rsid w:val="63B70790"/>
    <w:rsid w:val="63D3560D"/>
    <w:rsid w:val="63F96B9D"/>
    <w:rsid w:val="640C12A4"/>
    <w:rsid w:val="642C196C"/>
    <w:rsid w:val="64EF6ECD"/>
    <w:rsid w:val="64F927C6"/>
    <w:rsid w:val="654F5A38"/>
    <w:rsid w:val="655C0947"/>
    <w:rsid w:val="658D2ABE"/>
    <w:rsid w:val="658E3D60"/>
    <w:rsid w:val="65C6645B"/>
    <w:rsid w:val="65DD1E85"/>
    <w:rsid w:val="65DF3A55"/>
    <w:rsid w:val="661029C7"/>
    <w:rsid w:val="66593116"/>
    <w:rsid w:val="66783447"/>
    <w:rsid w:val="668B300E"/>
    <w:rsid w:val="66A81C7B"/>
    <w:rsid w:val="66B127CA"/>
    <w:rsid w:val="677028C3"/>
    <w:rsid w:val="67857D3E"/>
    <w:rsid w:val="6795792D"/>
    <w:rsid w:val="68304F2C"/>
    <w:rsid w:val="687D0909"/>
    <w:rsid w:val="68B947F6"/>
    <w:rsid w:val="68BC0072"/>
    <w:rsid w:val="68E56332"/>
    <w:rsid w:val="68FB6B4E"/>
    <w:rsid w:val="69085BE6"/>
    <w:rsid w:val="693F5A7D"/>
    <w:rsid w:val="6A3D2959"/>
    <w:rsid w:val="6A8418E3"/>
    <w:rsid w:val="6AAD3EA7"/>
    <w:rsid w:val="6AB55B7D"/>
    <w:rsid w:val="6BAA0220"/>
    <w:rsid w:val="6BC028C9"/>
    <w:rsid w:val="6BCD6A72"/>
    <w:rsid w:val="6BFA68A4"/>
    <w:rsid w:val="6C0F5CA0"/>
    <w:rsid w:val="6C1403F1"/>
    <w:rsid w:val="6C360162"/>
    <w:rsid w:val="6D0E5290"/>
    <w:rsid w:val="6D12014F"/>
    <w:rsid w:val="6DB879DB"/>
    <w:rsid w:val="6E2422C5"/>
    <w:rsid w:val="6E4C2E03"/>
    <w:rsid w:val="6ED73BD6"/>
    <w:rsid w:val="6EF973B8"/>
    <w:rsid w:val="6F0A73B2"/>
    <w:rsid w:val="6F143371"/>
    <w:rsid w:val="6F3D2335"/>
    <w:rsid w:val="6FA87BCD"/>
    <w:rsid w:val="6FC325D5"/>
    <w:rsid w:val="700C1BE3"/>
    <w:rsid w:val="70476D35"/>
    <w:rsid w:val="70630661"/>
    <w:rsid w:val="70A607F9"/>
    <w:rsid w:val="70FD5D0C"/>
    <w:rsid w:val="71163AD6"/>
    <w:rsid w:val="718E538D"/>
    <w:rsid w:val="71E07928"/>
    <w:rsid w:val="720534C7"/>
    <w:rsid w:val="72263786"/>
    <w:rsid w:val="723B14A0"/>
    <w:rsid w:val="72552BFD"/>
    <w:rsid w:val="727D5C96"/>
    <w:rsid w:val="72DA6F71"/>
    <w:rsid w:val="72E230E6"/>
    <w:rsid w:val="730B5FEF"/>
    <w:rsid w:val="7367613B"/>
    <w:rsid w:val="73825E18"/>
    <w:rsid w:val="73DF3042"/>
    <w:rsid w:val="74295F2B"/>
    <w:rsid w:val="744454BA"/>
    <w:rsid w:val="746D0706"/>
    <w:rsid w:val="7496370B"/>
    <w:rsid w:val="749912BD"/>
    <w:rsid w:val="74C81F0A"/>
    <w:rsid w:val="74D95018"/>
    <w:rsid w:val="752F3D1C"/>
    <w:rsid w:val="759A6D08"/>
    <w:rsid w:val="75B40518"/>
    <w:rsid w:val="76487E78"/>
    <w:rsid w:val="76A44873"/>
    <w:rsid w:val="76C02669"/>
    <w:rsid w:val="76D51343"/>
    <w:rsid w:val="76E30BF0"/>
    <w:rsid w:val="77523371"/>
    <w:rsid w:val="77543887"/>
    <w:rsid w:val="77702404"/>
    <w:rsid w:val="77714C81"/>
    <w:rsid w:val="77915457"/>
    <w:rsid w:val="78D85AA6"/>
    <w:rsid w:val="79240749"/>
    <w:rsid w:val="79CB2F04"/>
    <w:rsid w:val="7AF52603"/>
    <w:rsid w:val="7B5439B7"/>
    <w:rsid w:val="7B622974"/>
    <w:rsid w:val="7CF20625"/>
    <w:rsid w:val="7CF740D4"/>
    <w:rsid w:val="7D7D079B"/>
    <w:rsid w:val="7DE50DBC"/>
    <w:rsid w:val="7DFE6A0B"/>
    <w:rsid w:val="7E6E5036"/>
    <w:rsid w:val="7E7E7CF6"/>
    <w:rsid w:val="7E990765"/>
    <w:rsid w:val="7EDA4963"/>
    <w:rsid w:val="7FB34F84"/>
    <w:rsid w:val="7FCB4FB7"/>
    <w:rsid w:val="7FF116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0" w:name="annotation text"/>
    <w:lsdException w:qFormat="1" w:uiPriority="0" w:semiHidden="0" w:name="header"/>
    <w:lsdException w:qFormat="1" w:uiPriority="0"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qFormat="1" w:uiPriority="99"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0"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480" w:lineRule="exact"/>
      <w:ind w:firstLine="723" w:firstLineChars="200"/>
      <w:jc w:val="both"/>
    </w:pPr>
    <w:rPr>
      <w:rFonts w:eastAsia="宋体" w:asciiTheme="minorAscii" w:hAnsiTheme="minorAscii" w:cstheme="minorBidi"/>
      <w:kern w:val="2"/>
      <w:sz w:val="24"/>
      <w:szCs w:val="24"/>
      <w:lang w:val="en-US" w:eastAsia="zh-CN" w:bidi="ar-SA"/>
    </w:rPr>
  </w:style>
  <w:style w:type="paragraph" w:styleId="4">
    <w:name w:val="heading 1"/>
    <w:basedOn w:val="1"/>
    <w:next w:val="1"/>
    <w:link w:val="34"/>
    <w:qFormat/>
    <w:uiPriority w:val="0"/>
    <w:pPr>
      <w:keepNext/>
      <w:keepLines/>
      <w:spacing w:before="180" w:after="180" w:line="480" w:lineRule="exact"/>
      <w:ind w:firstLine="0" w:firstLineChars="0"/>
      <w:jc w:val="center"/>
      <w:outlineLvl w:val="0"/>
    </w:pPr>
    <w:rPr>
      <w:rFonts w:eastAsia="宋体"/>
      <w:b/>
      <w:bCs/>
      <w:kern w:val="44"/>
      <w:sz w:val="36"/>
      <w:szCs w:val="44"/>
    </w:rPr>
  </w:style>
  <w:style w:type="paragraph" w:styleId="5">
    <w:name w:val="heading 2"/>
    <w:basedOn w:val="1"/>
    <w:next w:val="1"/>
    <w:link w:val="53"/>
    <w:unhideWhenUsed/>
    <w:qFormat/>
    <w:uiPriority w:val="0"/>
    <w:pPr>
      <w:keepNext/>
      <w:keepLines/>
      <w:spacing w:before="120" w:after="120" w:line="480" w:lineRule="exact"/>
      <w:outlineLvl w:val="1"/>
    </w:pPr>
    <w:rPr>
      <w:rFonts w:asciiTheme="majorAscii" w:hAnsiTheme="majorAscii" w:eastAsiaTheme="majorEastAsia" w:cstheme="majorBidi"/>
      <w:b/>
      <w:bCs/>
      <w:sz w:val="28"/>
      <w:szCs w:val="32"/>
    </w:rPr>
  </w:style>
  <w:style w:type="paragraph" w:styleId="6">
    <w:name w:val="heading 3"/>
    <w:basedOn w:val="1"/>
    <w:next w:val="1"/>
    <w:link w:val="54"/>
    <w:unhideWhenUsed/>
    <w:qFormat/>
    <w:uiPriority w:val="0"/>
    <w:pPr>
      <w:keepNext/>
      <w:keepLines/>
      <w:spacing w:before="60" w:after="60" w:line="480" w:lineRule="exact"/>
      <w:jc w:val="left"/>
      <w:outlineLvl w:val="2"/>
    </w:pPr>
    <w:rPr>
      <w:rFonts w:ascii="Times New Roman" w:hAnsi="Times New Roman" w:eastAsia="宋体"/>
      <w:b/>
      <w:bCs/>
      <w:sz w:val="24"/>
      <w:szCs w:val="32"/>
    </w:rPr>
  </w:style>
  <w:style w:type="paragraph" w:styleId="7">
    <w:name w:val="heading 4"/>
    <w:basedOn w:val="1"/>
    <w:next w:val="1"/>
    <w:unhideWhenUsed/>
    <w:qFormat/>
    <w:uiPriority w:val="0"/>
    <w:pPr>
      <w:keepNext/>
      <w:keepLines/>
      <w:spacing w:line="374" w:lineRule="auto"/>
      <w:jc w:val="left"/>
      <w:outlineLvl w:val="3"/>
    </w:pPr>
    <w:rPr>
      <w:rFonts w:ascii="Times New Roman" w:hAnsi="Times New Roman" w:eastAsiaTheme="majorEastAsia" w:cstheme="majorBidi"/>
      <w:b/>
      <w:bCs/>
      <w:sz w:val="24"/>
      <w:szCs w:val="28"/>
    </w:rPr>
  </w:style>
  <w:style w:type="character" w:default="1" w:styleId="26">
    <w:name w:val="Default Paragraph Font"/>
    <w:semiHidden/>
    <w:qFormat/>
    <w:uiPriority w:val="0"/>
  </w:style>
  <w:style w:type="table" w:default="1" w:styleId="24">
    <w:name w:val="Normal Table"/>
    <w:semiHidden/>
    <w:qFormat/>
    <w:uiPriority w:val="0"/>
    <w:tblPr>
      <w:tblCellMar>
        <w:top w:w="0" w:type="dxa"/>
        <w:left w:w="108" w:type="dxa"/>
        <w:bottom w:w="0" w:type="dxa"/>
        <w:right w:w="108" w:type="dxa"/>
      </w:tblCellMar>
    </w:tblPr>
  </w:style>
  <w:style w:type="paragraph" w:styleId="2">
    <w:name w:val="Body Text"/>
    <w:basedOn w:val="1"/>
    <w:next w:val="3"/>
    <w:link w:val="47"/>
    <w:qFormat/>
    <w:uiPriority w:val="0"/>
    <w:pPr>
      <w:jc w:val="center"/>
    </w:pPr>
    <w:rPr>
      <w:rFonts w:ascii="Times New Roman" w:hAnsi="Times New Roman" w:eastAsia="宋体"/>
    </w:rPr>
  </w:style>
  <w:style w:type="paragraph" w:customStyle="1" w:styleId="3">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styleId="8">
    <w:name w:val="Normal Indent"/>
    <w:basedOn w:val="1"/>
    <w:qFormat/>
    <w:uiPriority w:val="99"/>
    <w:pPr>
      <w:adjustRightInd w:val="0"/>
      <w:spacing w:line="360" w:lineRule="auto"/>
      <w:jc w:val="left"/>
      <w:textAlignment w:val="baseline"/>
    </w:pPr>
    <w:rPr>
      <w:b/>
      <w:kern w:val="0"/>
      <w:sz w:val="24"/>
      <w:szCs w:val="20"/>
    </w:rPr>
  </w:style>
  <w:style w:type="paragraph" w:styleId="9">
    <w:name w:val="caption"/>
    <w:next w:val="1"/>
    <w:qFormat/>
    <w:uiPriority w:val="35"/>
    <w:pPr>
      <w:widowControl w:val="0"/>
      <w:jc w:val="both"/>
    </w:pPr>
    <w:rPr>
      <w:rFonts w:ascii="Arial" w:hAnsi="Arial" w:eastAsia="黑体" w:cs="Arial"/>
      <w:kern w:val="2"/>
      <w:sz w:val="20"/>
      <w:szCs w:val="20"/>
      <w:lang w:val="en-US" w:eastAsia="zh-CN" w:bidi="ar-SA"/>
    </w:rPr>
  </w:style>
  <w:style w:type="paragraph" w:styleId="10">
    <w:name w:val="annotation text"/>
    <w:basedOn w:val="1"/>
    <w:semiHidden/>
    <w:qFormat/>
    <w:uiPriority w:val="0"/>
    <w:pPr>
      <w:jc w:val="left"/>
    </w:pPr>
    <w:rPr>
      <w:rFonts w:cs="Times New Roman"/>
    </w:rPr>
  </w:style>
  <w:style w:type="paragraph" w:styleId="11">
    <w:name w:val="Body Text 3"/>
    <w:basedOn w:val="1"/>
    <w:unhideWhenUsed/>
    <w:qFormat/>
    <w:uiPriority w:val="99"/>
    <w:pPr>
      <w:tabs>
        <w:tab w:val="left" w:pos="377"/>
      </w:tabs>
      <w:spacing w:after="120"/>
    </w:pPr>
    <w:rPr>
      <w:sz w:val="16"/>
      <w:szCs w:val="16"/>
    </w:rPr>
  </w:style>
  <w:style w:type="paragraph" w:styleId="12">
    <w:name w:val="Body Text Indent"/>
    <w:basedOn w:val="1"/>
    <w:next w:val="13"/>
    <w:qFormat/>
    <w:uiPriority w:val="0"/>
    <w:pPr>
      <w:spacing w:line="360" w:lineRule="auto"/>
      <w:ind w:firstLine="480"/>
    </w:pPr>
    <w:rPr>
      <w:rFonts w:ascii="宋体"/>
      <w:sz w:val="24"/>
      <w:szCs w:val="20"/>
    </w:rPr>
  </w:style>
  <w:style w:type="paragraph" w:styleId="13">
    <w:name w:val="List"/>
    <w:basedOn w:val="1"/>
    <w:qFormat/>
    <w:uiPriority w:val="0"/>
    <w:pPr>
      <w:spacing w:line="360" w:lineRule="exact"/>
      <w:ind w:left="0" w:firstLine="0" w:firstLineChars="0"/>
      <w:jc w:val="center"/>
    </w:pPr>
    <w:rPr>
      <w:rFonts w:eastAsia="宋体"/>
      <w:szCs w:val="20"/>
    </w:rPr>
  </w:style>
  <w:style w:type="paragraph" w:styleId="14">
    <w:name w:val="Plain Text"/>
    <w:basedOn w:val="1"/>
    <w:qFormat/>
    <w:uiPriority w:val="0"/>
    <w:pPr>
      <w:widowControl/>
      <w:spacing w:line="240" w:lineRule="auto"/>
      <w:jc w:val="left"/>
    </w:pPr>
    <w:rPr>
      <w:rFonts w:ascii="宋体" w:hAnsi="Courier New"/>
      <w:sz w:val="20"/>
      <w:szCs w:val="20"/>
    </w:rPr>
  </w:style>
  <w:style w:type="paragraph" w:styleId="15">
    <w:name w:val="Body Text Indent 2"/>
    <w:basedOn w:val="1"/>
    <w:qFormat/>
    <w:uiPriority w:val="0"/>
    <w:pPr>
      <w:spacing w:line="420" w:lineRule="exact"/>
      <w:ind w:firstLine="540" w:firstLineChars="225"/>
    </w:pPr>
  </w:style>
  <w:style w:type="paragraph" w:styleId="16">
    <w:name w:val="footer"/>
    <w:basedOn w:val="1"/>
    <w:unhideWhenUsed/>
    <w:qFormat/>
    <w:uiPriority w:val="0"/>
    <w:pPr>
      <w:tabs>
        <w:tab w:val="center" w:pos="4153"/>
        <w:tab w:val="right" w:pos="8306"/>
      </w:tabs>
      <w:snapToGrid w:val="0"/>
      <w:jc w:val="left"/>
    </w:pPr>
    <w:rPr>
      <w:sz w:val="18"/>
      <w:szCs w:val="18"/>
    </w:rPr>
  </w:style>
  <w:style w:type="paragraph" w:styleId="17">
    <w:name w:val="header"/>
    <w:basedOn w:val="1"/>
    <w:unhideWhenUsed/>
    <w:qFormat/>
    <w:uiPriority w:val="0"/>
    <w:pPr>
      <w:pBdr>
        <w:bottom w:val="single" w:color="auto" w:sz="6" w:space="1"/>
      </w:pBdr>
      <w:tabs>
        <w:tab w:val="center" w:pos="4153"/>
        <w:tab w:val="right" w:pos="8306"/>
      </w:tabs>
      <w:snapToGrid w:val="0"/>
      <w:jc w:val="center"/>
    </w:pPr>
    <w:rPr>
      <w:sz w:val="18"/>
      <w:szCs w:val="18"/>
    </w:rPr>
  </w:style>
  <w:style w:type="paragraph" w:styleId="18">
    <w:name w:val="toc 1"/>
    <w:basedOn w:val="1"/>
    <w:next w:val="1"/>
    <w:qFormat/>
    <w:uiPriority w:val="0"/>
  </w:style>
  <w:style w:type="paragraph" w:styleId="19">
    <w:name w:val="Body Text Indent 3"/>
    <w:basedOn w:val="1"/>
    <w:qFormat/>
    <w:uiPriority w:val="0"/>
    <w:pPr>
      <w:spacing w:line="360" w:lineRule="auto"/>
      <w:ind w:firstLine="360" w:firstLineChars="150"/>
    </w:pPr>
    <w:rPr>
      <w:rFonts w:ascii="宋体"/>
      <w:sz w:val="24"/>
    </w:rPr>
  </w:style>
  <w:style w:type="paragraph" w:styleId="20">
    <w:name w:val="toc 2"/>
    <w:basedOn w:val="1"/>
    <w:next w:val="1"/>
    <w:qFormat/>
    <w:uiPriority w:val="0"/>
    <w:pPr>
      <w:ind w:left="420" w:leftChars="200"/>
    </w:pPr>
  </w:style>
  <w:style w:type="paragraph" w:styleId="21">
    <w:name w:val="Normal (Web)"/>
    <w:qFormat/>
    <w:uiPriority w:val="99"/>
    <w:pPr>
      <w:widowControl/>
      <w:spacing w:beforeAutospacing="1" w:afterAutospacing="1"/>
      <w:jc w:val="left"/>
    </w:pPr>
    <w:rPr>
      <w:rFonts w:ascii="宋体" w:hAnsi="宋体" w:eastAsia="宋体" w:cs="宋体"/>
      <w:kern w:val="0"/>
      <w:sz w:val="24"/>
      <w:szCs w:val="24"/>
      <w:lang w:val="en-US" w:eastAsia="zh-CN" w:bidi="ar-SA"/>
    </w:rPr>
  </w:style>
  <w:style w:type="paragraph" w:styleId="22">
    <w:name w:val="Title"/>
    <w:basedOn w:val="1"/>
    <w:next w:val="1"/>
    <w:qFormat/>
    <w:uiPriority w:val="0"/>
    <w:pPr>
      <w:spacing w:line="500" w:lineRule="exact"/>
      <w:jc w:val="center"/>
    </w:pPr>
    <w:rPr>
      <w:rFonts w:eastAsia="黑体"/>
      <w:bCs/>
      <w:szCs w:val="32"/>
    </w:rPr>
  </w:style>
  <w:style w:type="paragraph" w:styleId="23">
    <w:name w:val="Body Text First Indent 2"/>
    <w:basedOn w:val="12"/>
    <w:unhideWhenUsed/>
    <w:qFormat/>
    <w:uiPriority w:val="0"/>
    <w:pPr>
      <w:ind w:firstLine="420" w:firstLineChars="200"/>
    </w:pPr>
  </w:style>
  <w:style w:type="table" w:styleId="25">
    <w:name w:val="Table Grid"/>
    <w:basedOn w:val="2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Hyperlink"/>
    <w:basedOn w:val="26"/>
    <w:qFormat/>
    <w:uiPriority w:val="0"/>
    <w:rPr>
      <w:color w:val="0000FF"/>
      <w:u w:val="single"/>
    </w:rPr>
  </w:style>
  <w:style w:type="paragraph" w:customStyle="1" w:styleId="28">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29">
    <w:name w:val="+正文"/>
    <w:basedOn w:val="1"/>
    <w:qFormat/>
    <w:uiPriority w:val="0"/>
    <w:pPr>
      <w:spacing w:line="360" w:lineRule="auto"/>
      <w:ind w:firstLine="200" w:firstLineChars="200"/>
    </w:pPr>
    <w:rPr>
      <w:rFonts w:ascii="Times New Roman" w:hAnsi="Times New Roman" w:eastAsia="宋体" w:cs="Times New Roman"/>
      <w:sz w:val="24"/>
      <w:szCs w:val="28"/>
    </w:rPr>
  </w:style>
  <w:style w:type="paragraph" w:customStyle="1" w:styleId="30">
    <w:name w:val="1、表名"/>
    <w:basedOn w:val="1"/>
    <w:qFormat/>
    <w:uiPriority w:val="0"/>
    <w:pPr>
      <w:autoSpaceDE w:val="0"/>
      <w:autoSpaceDN w:val="0"/>
      <w:adjustRightInd w:val="0"/>
      <w:jc w:val="center"/>
      <w:textAlignment w:val="baseline"/>
    </w:pPr>
    <w:rPr>
      <w:rFonts w:ascii="Times New Roman" w:hAnsi="Times New Roman" w:eastAsia="宋体" w:cs="Times New Roman"/>
      <w:b/>
      <w:kern w:val="0"/>
      <w:szCs w:val="21"/>
    </w:rPr>
  </w:style>
  <w:style w:type="paragraph" w:customStyle="1" w:styleId="31">
    <w:name w:val="表格首行"/>
    <w:basedOn w:val="1"/>
    <w:next w:val="1"/>
    <w:qFormat/>
    <w:uiPriority w:val="0"/>
    <w:pPr>
      <w:jc w:val="center"/>
    </w:pPr>
    <w:rPr>
      <w:rFonts w:ascii="Times New Roman" w:hAnsi="Times New Roman" w:eastAsia="宋体" w:cs="宋体"/>
      <w:b/>
      <w:szCs w:val="20"/>
    </w:rPr>
  </w:style>
  <w:style w:type="paragraph" w:customStyle="1" w:styleId="32">
    <w:name w:val="表格内容"/>
    <w:basedOn w:val="1"/>
    <w:qFormat/>
    <w:uiPriority w:val="0"/>
    <w:pPr>
      <w:jc w:val="center"/>
    </w:pPr>
    <w:rPr>
      <w:rFonts w:ascii="Times New Roman" w:hAnsi="Times New Roman"/>
    </w:rPr>
  </w:style>
  <w:style w:type="paragraph" w:customStyle="1" w:styleId="33">
    <w:name w:val="正文-欣欣"/>
    <w:basedOn w:val="1"/>
    <w:qFormat/>
    <w:uiPriority w:val="0"/>
    <w:pPr>
      <w:adjustRightInd w:val="0"/>
      <w:spacing w:line="360" w:lineRule="auto"/>
      <w:ind w:firstLine="200" w:firstLineChars="200"/>
    </w:pPr>
    <w:rPr>
      <w:rFonts w:ascii="Times New Roman" w:hAnsi="Times New Roman" w:eastAsia="宋体" w:cs="Times New Roman"/>
      <w:sz w:val="24"/>
      <w:szCs w:val="30"/>
    </w:rPr>
  </w:style>
  <w:style w:type="character" w:customStyle="1" w:styleId="34">
    <w:name w:val="标题 1 Char"/>
    <w:link w:val="4"/>
    <w:qFormat/>
    <w:uiPriority w:val="0"/>
    <w:rPr>
      <w:rFonts w:eastAsia="宋体"/>
      <w:b/>
      <w:bCs/>
      <w:kern w:val="44"/>
      <w:sz w:val="36"/>
      <w:szCs w:val="44"/>
    </w:rPr>
  </w:style>
  <w:style w:type="paragraph" w:customStyle="1" w:styleId="35">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36">
    <w:name w:val="Default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7">
    <w:name w:val="文"/>
    <w:basedOn w:val="1"/>
    <w:qFormat/>
    <w:uiPriority w:val="0"/>
    <w:pPr>
      <w:spacing w:line="360" w:lineRule="auto"/>
      <w:ind w:firstLine="200" w:firstLineChars="200"/>
      <w:jc w:val="left"/>
    </w:pPr>
    <w:rPr>
      <w:sz w:val="24"/>
    </w:rPr>
  </w:style>
  <w:style w:type="paragraph" w:customStyle="1" w:styleId="38">
    <w:name w:val="CM9"/>
    <w:basedOn w:val="28"/>
    <w:next w:val="28"/>
    <w:unhideWhenUsed/>
    <w:qFormat/>
    <w:uiPriority w:val="99"/>
    <w:pPr>
      <w:spacing w:line="468" w:lineRule="atLeast"/>
    </w:pPr>
  </w:style>
  <w:style w:type="paragraph" w:customStyle="1" w:styleId="39">
    <w:name w:val="CM91"/>
    <w:basedOn w:val="28"/>
    <w:next w:val="28"/>
    <w:unhideWhenUsed/>
    <w:qFormat/>
    <w:uiPriority w:val="99"/>
    <w:pPr>
      <w:spacing w:after="353"/>
    </w:pPr>
  </w:style>
  <w:style w:type="paragraph" w:customStyle="1" w:styleId="40">
    <w:name w:val="CM54"/>
    <w:basedOn w:val="28"/>
    <w:next w:val="28"/>
    <w:unhideWhenUsed/>
    <w:qFormat/>
    <w:uiPriority w:val="99"/>
    <w:pPr>
      <w:spacing w:line="471" w:lineRule="atLeast"/>
    </w:pPr>
  </w:style>
  <w:style w:type="paragraph" w:customStyle="1" w:styleId="41">
    <w:name w:val="样式 加粗 黑色 居中 行距: 1.5 倍行距"/>
    <w:qFormat/>
    <w:uiPriority w:val="0"/>
    <w:pPr>
      <w:widowControl w:val="0"/>
      <w:spacing w:line="360" w:lineRule="auto"/>
      <w:jc w:val="center"/>
    </w:pPr>
    <w:rPr>
      <w:rFonts w:ascii="Calibri" w:hAnsi="Calibri" w:eastAsia="宋体" w:cs="宋体"/>
      <w:b/>
      <w:bCs/>
      <w:color w:val="000000"/>
      <w:kern w:val="2"/>
      <w:sz w:val="22"/>
      <w:szCs w:val="20"/>
      <w:lang w:val="en-US" w:eastAsia="zh-CN" w:bidi="ar-SA"/>
    </w:rPr>
  </w:style>
  <w:style w:type="character" w:customStyle="1" w:styleId="42">
    <w:name w:val="样式 (符号) 宋体 小四 Char"/>
    <w:link w:val="43"/>
    <w:qFormat/>
    <w:uiPriority w:val="0"/>
    <w:rPr>
      <w:rFonts w:ascii="Times New Roman" w:hAnsi="宋体" w:eastAsia="Times New Roman" w:cs="Times New Roman"/>
      <w:bCs/>
      <w:kern w:val="0"/>
      <w:sz w:val="24"/>
      <w:szCs w:val="24"/>
      <w:lang w:val="en-US" w:eastAsia="zh-CN" w:bidi="ar-SA"/>
    </w:rPr>
  </w:style>
  <w:style w:type="paragraph" w:customStyle="1" w:styleId="43">
    <w:name w:val="样式 (符号) 宋体 小四"/>
    <w:link w:val="42"/>
    <w:qFormat/>
    <w:uiPriority w:val="0"/>
    <w:pPr>
      <w:widowControl w:val="0"/>
      <w:spacing w:line="360" w:lineRule="auto"/>
      <w:ind w:firstLine="200" w:firstLineChars="200"/>
      <w:jc w:val="both"/>
    </w:pPr>
    <w:rPr>
      <w:rFonts w:ascii="Times New Roman" w:hAnsi="宋体" w:eastAsia="Times New Roman" w:cs="Times New Roman"/>
      <w:bCs/>
      <w:kern w:val="0"/>
      <w:sz w:val="24"/>
      <w:szCs w:val="24"/>
      <w:lang w:val="en-US" w:eastAsia="zh-CN" w:bidi="ar-SA"/>
    </w:rPr>
  </w:style>
  <w:style w:type="paragraph" w:styleId="44">
    <w:name w:val="No Spacing"/>
    <w:basedOn w:val="1"/>
    <w:qFormat/>
    <w:uiPriority w:val="0"/>
    <w:pPr>
      <w:widowControl w:val="0"/>
      <w:snapToGrid w:val="0"/>
      <w:spacing w:line="340" w:lineRule="exact"/>
      <w:jc w:val="center"/>
    </w:pPr>
    <w:rPr>
      <w:rFonts w:ascii="Times New Roman" w:hAnsi="Times New Roman" w:eastAsia="宋体" w:cs="Times New Roman"/>
      <w:kern w:val="2"/>
      <w:sz w:val="21"/>
      <w:szCs w:val="21"/>
      <w:lang w:val="zh-CN" w:eastAsia="zh-CN" w:bidi="ar-SA"/>
    </w:rPr>
  </w:style>
  <w:style w:type="paragraph" w:customStyle="1" w:styleId="45">
    <w:name w:val="标题四"/>
    <w:basedOn w:val="46"/>
    <w:qFormat/>
    <w:uiPriority w:val="0"/>
    <w:pPr>
      <w:spacing w:line="480" w:lineRule="exact"/>
      <w:jc w:val="left"/>
      <w:outlineLvl w:val="3"/>
    </w:pPr>
    <w:rPr>
      <w:rFonts w:ascii="Times New Roman" w:hAnsi="Times New Roman"/>
      <w:sz w:val="24"/>
    </w:rPr>
  </w:style>
  <w:style w:type="paragraph" w:customStyle="1" w:styleId="46">
    <w:name w:val="Table Paragraph"/>
    <w:basedOn w:val="1"/>
    <w:qFormat/>
    <w:uiPriority w:val="1"/>
    <w:pPr>
      <w:spacing w:before="1"/>
      <w:jc w:val="center"/>
    </w:pPr>
    <w:rPr>
      <w:rFonts w:ascii="宋体" w:hAnsi="宋体" w:eastAsia="宋体" w:cs="宋体"/>
      <w:lang w:val="zh-CN" w:eastAsia="zh-CN" w:bidi="zh-CN"/>
    </w:rPr>
  </w:style>
  <w:style w:type="character" w:customStyle="1" w:styleId="47">
    <w:name w:val="正文文本 Char"/>
    <w:link w:val="2"/>
    <w:qFormat/>
    <w:uiPriority w:val="1"/>
    <w:rPr>
      <w:rFonts w:ascii="Times New Roman" w:hAnsi="Times New Roman" w:eastAsia="宋体"/>
    </w:rPr>
  </w:style>
  <w:style w:type="paragraph" w:customStyle="1" w:styleId="48">
    <w:name w:val="标题三"/>
    <w:qFormat/>
    <w:uiPriority w:val="0"/>
    <w:pPr>
      <w:widowControl w:val="0"/>
      <w:autoSpaceDE w:val="0"/>
      <w:autoSpaceDN w:val="0"/>
      <w:spacing w:before="60" w:after="60" w:line="480" w:lineRule="exact"/>
      <w:ind w:left="0" w:right="0"/>
      <w:jc w:val="left"/>
      <w:outlineLvl w:val="2"/>
    </w:pPr>
    <w:rPr>
      <w:rFonts w:ascii="Times New Roman" w:hAnsi="Times New Roman" w:eastAsia="宋体" w:cs="宋体"/>
      <w:b/>
      <w:sz w:val="24"/>
      <w:szCs w:val="22"/>
      <w:lang w:val="zh-CN" w:eastAsia="zh-CN" w:bidi="zh-CN"/>
    </w:rPr>
  </w:style>
  <w:style w:type="paragraph" w:customStyle="1" w:styleId="49">
    <w:name w:val="样式4"/>
    <w:basedOn w:val="1"/>
    <w:qFormat/>
    <w:uiPriority w:val="0"/>
    <w:pPr>
      <w:wordWrap w:val="0"/>
      <w:spacing w:line="360" w:lineRule="auto"/>
      <w:ind w:firstLine="560" w:firstLineChars="200"/>
      <w:jc w:val="left"/>
    </w:pPr>
    <w:rPr>
      <w:kern w:val="0"/>
    </w:rPr>
  </w:style>
  <w:style w:type="paragraph" w:customStyle="1" w:styleId="50">
    <w:name w:val="Normal_44"/>
    <w:qFormat/>
    <w:uiPriority w:val="0"/>
    <w:pPr>
      <w:spacing w:before="120" w:after="240"/>
      <w:jc w:val="both"/>
    </w:pPr>
    <w:rPr>
      <w:rFonts w:ascii="Calibri" w:hAnsi="Calibri" w:eastAsia="Calibri" w:cs="Times New Roman"/>
      <w:sz w:val="22"/>
      <w:szCs w:val="22"/>
      <w:lang w:val="ru-RU" w:eastAsia="en-US" w:bidi="ar-SA"/>
    </w:rPr>
  </w:style>
  <w:style w:type="paragraph" w:customStyle="1" w:styleId="51">
    <w:name w:val="1、表内字"/>
    <w:basedOn w:val="1"/>
    <w:qFormat/>
    <w:uiPriority w:val="0"/>
    <w:pPr>
      <w:widowControl/>
      <w:jc w:val="center"/>
      <w:textAlignment w:val="baseline"/>
    </w:pPr>
    <w:rPr>
      <w:rFonts w:ascii="Times New Roman" w:hAnsi="Times New Roman" w:eastAsia="宋体" w:cs="Times New Roman"/>
      <w:kern w:val="0"/>
      <w:szCs w:val="21"/>
    </w:rPr>
  </w:style>
  <w:style w:type="paragraph" w:customStyle="1" w:styleId="52">
    <w:name w:val="表格样式"/>
    <w:basedOn w:val="1"/>
    <w:qFormat/>
    <w:uiPriority w:val="0"/>
    <w:pPr>
      <w:adjustRightInd w:val="0"/>
      <w:snapToGrid w:val="0"/>
      <w:jc w:val="center"/>
      <w:textAlignment w:val="center"/>
    </w:pPr>
    <w:rPr>
      <w:sz w:val="28"/>
      <w:szCs w:val="20"/>
    </w:rPr>
  </w:style>
  <w:style w:type="character" w:customStyle="1" w:styleId="53">
    <w:name w:val="标题 2 Char"/>
    <w:link w:val="5"/>
    <w:qFormat/>
    <w:uiPriority w:val="0"/>
    <w:rPr>
      <w:rFonts w:asciiTheme="majorAscii" w:hAnsiTheme="majorAscii" w:eastAsiaTheme="majorEastAsia" w:cstheme="majorBidi"/>
      <w:b/>
      <w:bCs/>
      <w:sz w:val="28"/>
      <w:szCs w:val="32"/>
    </w:rPr>
  </w:style>
  <w:style w:type="character" w:customStyle="1" w:styleId="54">
    <w:name w:val="标题 3 Char"/>
    <w:link w:val="6"/>
    <w:qFormat/>
    <w:uiPriority w:val="0"/>
    <w:rPr>
      <w:rFonts w:ascii="Times New Roman" w:hAnsi="Times New Roman" w:eastAsia="宋体"/>
      <w:b/>
      <w:bCs/>
      <w:sz w:val="24"/>
      <w:szCs w:val="32"/>
    </w:rPr>
  </w:style>
  <w:style w:type="paragraph" w:customStyle="1" w:styleId="55">
    <w:name w:val="WPSOffice手动目录 1"/>
    <w:qFormat/>
    <w:uiPriority w:val="0"/>
    <w:pPr>
      <w:ind w:leftChars="0"/>
    </w:pPr>
    <w:rPr>
      <w:rFonts w:ascii="Times New Roman" w:hAnsi="Times New Roman" w:eastAsia="宋体" w:cs="Times New Roman"/>
      <w:sz w:val="20"/>
      <w:szCs w:val="20"/>
    </w:rPr>
  </w:style>
  <w:style w:type="paragraph" w:customStyle="1" w:styleId="56">
    <w:name w:val="WPSOffice手动目录 2"/>
    <w:qFormat/>
    <w:uiPriority w:val="0"/>
    <w:pPr>
      <w:ind w:leftChars="200"/>
    </w:pPr>
    <w:rPr>
      <w:rFonts w:ascii="Times New Roman" w:hAnsi="Times New Roman" w:eastAsia="宋体" w:cs="Times New Roman"/>
      <w:sz w:val="20"/>
      <w:szCs w:val="20"/>
    </w:rPr>
  </w:style>
  <w:style w:type="paragraph" w:customStyle="1" w:styleId="57">
    <w:name w:val="标题3"/>
    <w:basedOn w:val="6"/>
    <w:qFormat/>
    <w:uiPriority w:val="0"/>
    <w:pPr>
      <w:keepNext w:val="0"/>
      <w:spacing w:before="156" w:beforeLines="50" w:after="78" w:afterLines="25" w:line="240" w:lineRule="auto"/>
    </w:pPr>
    <w:rPr>
      <w:sz w:val="28"/>
    </w:rPr>
  </w:style>
  <w:style w:type="paragraph" w:styleId="58">
    <w:name w:val="Quote"/>
    <w:basedOn w:val="1"/>
    <w:next w:val="1"/>
    <w:qFormat/>
    <w:uiPriority w:val="0"/>
    <w:pPr>
      <w:spacing w:line="240" w:lineRule="auto"/>
      <w:ind w:firstLine="0"/>
      <w:jc w:val="center"/>
    </w:pPr>
    <w:rPr>
      <w:b/>
      <w:iCs/>
      <w:color w:val="000000"/>
      <w:sz w:val="21"/>
    </w:rPr>
  </w:style>
  <w:style w:type="paragraph" w:customStyle="1" w:styleId="59">
    <w:name w:val="正 文"/>
    <w:basedOn w:val="1"/>
    <w:qFormat/>
    <w:uiPriority w:val="0"/>
    <w:pPr>
      <w:spacing w:line="360" w:lineRule="auto"/>
      <w:ind w:firstLine="200" w:firstLineChars="200"/>
    </w:pPr>
    <w:rPr>
      <w:szCs w:val="22"/>
    </w:rPr>
  </w:style>
  <w:style w:type="paragraph" w:customStyle="1" w:styleId="60">
    <w:name w:val="正文2"/>
    <w:basedOn w:val="1"/>
    <w:qFormat/>
    <w:uiPriority w:val="0"/>
    <w:pPr>
      <w:widowControl/>
      <w:tabs>
        <w:tab w:val="left" w:pos="900"/>
        <w:tab w:val="left" w:pos="1080"/>
      </w:tabs>
      <w:autoSpaceDE w:val="0"/>
      <w:autoSpaceDN w:val="0"/>
      <w:spacing w:line="360" w:lineRule="auto"/>
      <w:ind w:firstLine="200" w:firstLineChars="200"/>
    </w:pPr>
    <w:rPr>
      <w:rFonts w:cs="宋体"/>
      <w:kern w:val="0"/>
      <w:szCs w:val="24"/>
      <w:lang w:val="zh-CN" w:bidi="en-US"/>
    </w:rPr>
  </w:style>
  <w:style w:type="paragraph" w:customStyle="1" w:styleId="61">
    <w:name w:val="报告表小段"/>
    <w:basedOn w:val="1"/>
    <w:qFormat/>
    <w:uiPriority w:val="0"/>
    <w:pPr>
      <w:snapToGrid w:val="0"/>
      <w:spacing w:before="120" w:line="360" w:lineRule="auto"/>
      <w:ind w:firstLine="470" w:firstLineChars="196"/>
    </w:pPr>
    <w:rPr>
      <w:rFonts w:ascii="宋体" w:hAnsi="宋体"/>
      <w:bCs/>
      <w:szCs w:val="24"/>
    </w:rPr>
  </w:style>
  <w:style w:type="paragraph" w:customStyle="1" w:styleId="62">
    <w:name w:val="报告正文"/>
    <w:basedOn w:val="1"/>
    <w:qFormat/>
    <w:uiPriority w:val="1"/>
    <w:pPr>
      <w:spacing w:line="360" w:lineRule="auto"/>
      <w:ind w:firstLine="200" w:firstLineChars="200"/>
    </w:pPr>
    <w:rPr>
      <w:szCs w:val="24"/>
    </w:rPr>
  </w:style>
  <w:style w:type="paragraph" w:customStyle="1" w:styleId="63">
    <w:name w:val="国表文"/>
    <w:qFormat/>
    <w:uiPriority w:val="0"/>
    <w:pPr>
      <w:widowControl w:val="0"/>
      <w:jc w:val="center"/>
    </w:pPr>
    <w:rPr>
      <w:rFonts w:ascii="Times New Roman" w:hAnsi="Times New Roman" w:eastAsia="宋体" w:cs="Times New Roman"/>
      <w:kern w:val="2"/>
      <w:sz w:val="21"/>
      <w:szCs w:val="21"/>
      <w:lang w:val="en-US" w:eastAsia="zh-CN" w:bidi="ar-SA"/>
    </w:rPr>
  </w:style>
  <w:style w:type="paragraph" w:styleId="64">
    <w:name w:val="List Paragraph"/>
    <w:basedOn w:val="1"/>
    <w:qFormat/>
    <w:uiPriority w:val="99"/>
    <w:pPr>
      <w:ind w:firstLine="420" w:firstLineChars="200"/>
    </w:pPr>
  </w:style>
  <w:style w:type="paragraph" w:customStyle="1" w:styleId="65">
    <w:name w:val="表格标题新"/>
    <w:basedOn w:val="1"/>
    <w:qFormat/>
    <w:uiPriority w:val="0"/>
    <w:pPr>
      <w:tabs>
        <w:tab w:val="left" w:pos="0"/>
      </w:tabs>
      <w:adjustRightInd w:val="0"/>
      <w:snapToGrid w:val="0"/>
      <w:spacing w:before="120" w:beforeLines="50" w:line="240" w:lineRule="auto"/>
      <w:ind w:firstLine="562"/>
      <w:jc w:val="center"/>
    </w:pPr>
    <w:rPr>
      <w:rFonts w:ascii="仿宋_GB2312" w:eastAsia="黑体"/>
      <w:b/>
      <w:snapToGrid w:val="0"/>
      <w:spacing w:val="4"/>
    </w:rPr>
  </w:style>
  <w:style w:type="paragraph" w:customStyle="1" w:styleId="66">
    <w:name w:val="样式 样式 (中文) 仿宋_GB2312 居中1 + 小四"/>
    <w:basedOn w:val="1"/>
    <w:qFormat/>
    <w:uiPriority w:val="0"/>
    <w:pPr>
      <w:spacing w:line="240" w:lineRule="auto"/>
      <w:jc w:val="center"/>
    </w:pPr>
    <w:rPr>
      <w:rFonts w:cs="宋体"/>
      <w:kern w:val="2"/>
    </w:rPr>
  </w:style>
  <w:style w:type="paragraph" w:customStyle="1" w:styleId="67">
    <w:name w:val="3标（张哲玮）"/>
    <w:basedOn w:val="6"/>
    <w:qFormat/>
    <w:uiPriority w:val="0"/>
    <w:pPr>
      <w:tabs>
        <w:tab w:val="left" w:pos="377"/>
      </w:tabs>
      <w:spacing w:before="10" w:after="10" w:line="360" w:lineRule="auto"/>
    </w:pPr>
    <w:rPr>
      <w:rFonts w:eastAsia="黑体"/>
      <w:b w:val="0"/>
      <w:sz w:val="28"/>
    </w:rPr>
  </w:style>
  <w:style w:type="paragraph" w:customStyle="1" w:styleId="68">
    <w:name w:val="HP正文"/>
    <w:basedOn w:val="1"/>
    <w:qFormat/>
    <w:uiPriority w:val="0"/>
    <w:pPr>
      <w:adjustRightInd w:val="0"/>
      <w:snapToGrid w:val="0"/>
      <w:ind w:firstLine="200" w:firstLineChars="200"/>
      <w:jc w:val="left"/>
    </w:pPr>
    <w:rPr>
      <w:kern w:val="2"/>
    </w:rPr>
  </w:style>
  <w:style w:type="paragraph" w:customStyle="1" w:styleId="69">
    <w:name w:val="表格填充1"/>
    <w:basedOn w:val="1"/>
    <w:qFormat/>
    <w:uiPriority w:val="0"/>
    <w:pPr>
      <w:adjustRightInd w:val="0"/>
      <w:snapToGrid w:val="0"/>
      <w:spacing w:line="360" w:lineRule="exact"/>
      <w:jc w:val="center"/>
    </w:pPr>
    <w:rPr>
      <w:sz w:val="20"/>
      <w:szCs w:val="18"/>
    </w:rPr>
  </w:style>
  <w:style w:type="paragraph" w:customStyle="1" w:styleId="70">
    <w:name w:val="表标题"/>
    <w:basedOn w:val="1"/>
    <w:qFormat/>
    <w:uiPriority w:val="0"/>
    <w:pPr>
      <w:spacing w:before="156" w:beforeLines="50" w:line="240" w:lineRule="auto"/>
      <w:jc w:val="center"/>
    </w:pPr>
    <w:rPr>
      <w:b/>
      <w:kern w:val="2"/>
      <w:sz w:val="21"/>
      <w:szCs w:val="21"/>
    </w:rPr>
  </w:style>
  <w:style w:type="paragraph" w:customStyle="1" w:styleId="71">
    <w:name w:val="样式 正文 行距: 固定值 25 磅"/>
    <w:basedOn w:val="1"/>
    <w:qFormat/>
    <w:uiPriority w:val="0"/>
    <w:pPr>
      <w:adjustRightInd w:val="0"/>
      <w:snapToGrid w:val="0"/>
      <w:spacing w:line="500" w:lineRule="exact"/>
      <w:ind w:firstLine="200" w:firstLineChars="200"/>
    </w:pPr>
    <w:rPr>
      <w:kern w:val="2"/>
    </w:rPr>
  </w:style>
  <w:style w:type="paragraph" w:customStyle="1" w:styleId="72">
    <w:name w:val="BG1"/>
    <w:basedOn w:val="1"/>
    <w:qFormat/>
    <w:uiPriority w:val="0"/>
    <w:pPr>
      <w:autoSpaceDE w:val="0"/>
      <w:autoSpaceDN w:val="0"/>
      <w:jc w:val="center"/>
    </w:pPr>
    <w:rPr>
      <w:kern w:val="0"/>
      <w:szCs w:val="21"/>
    </w:rPr>
  </w:style>
  <w:style w:type="paragraph" w:customStyle="1" w:styleId="73">
    <w:name w:val="正文段落"/>
    <w:basedOn w:val="1"/>
    <w:qFormat/>
    <w:uiPriority w:val="0"/>
    <w:pPr>
      <w:spacing w:line="360" w:lineRule="exact"/>
      <w:ind w:firstLine="476"/>
    </w:pPr>
    <w:rPr>
      <w:rFonts w:ascii="宋体" w:hAnsi="宋体"/>
      <w:sz w:val="24"/>
    </w:rPr>
  </w:style>
  <w:style w:type="paragraph" w:customStyle="1" w:styleId="74">
    <w:name w:val="报告"/>
    <w:basedOn w:val="1"/>
    <w:qFormat/>
    <w:uiPriority w:val="0"/>
    <w:pPr>
      <w:adjustRightInd w:val="0"/>
      <w:spacing w:line="360" w:lineRule="auto"/>
      <w:ind w:firstLine="505"/>
      <w:jc w:val="left"/>
      <w:textAlignment w:val="baseline"/>
    </w:pPr>
    <w:rPr>
      <w:kern w:val="0"/>
      <w:sz w:val="24"/>
      <w:szCs w:val="20"/>
    </w:rPr>
  </w:style>
  <w:style w:type="paragraph" w:customStyle="1" w:styleId="75">
    <w:name w:val="报告表正文"/>
    <w:basedOn w:val="1"/>
    <w:qFormat/>
    <w:uiPriority w:val="0"/>
    <w:pPr>
      <w:adjustRightInd w:val="0"/>
      <w:spacing w:line="312" w:lineRule="auto"/>
      <w:ind w:left="113" w:right="113" w:firstLine="482"/>
      <w:jc w:val="left"/>
      <w:textAlignment w:val="baseline"/>
    </w:pPr>
    <w:rPr>
      <w:kern w:val="0"/>
      <w:sz w:val="24"/>
      <w:szCs w:val="20"/>
    </w:rPr>
  </w:style>
  <w:style w:type="character" w:customStyle="1" w:styleId="76">
    <w:name w:val="font01"/>
    <w:basedOn w:val="26"/>
    <w:qFormat/>
    <w:uiPriority w:val="0"/>
    <w:rPr>
      <w:rFonts w:hint="eastAsia" w:ascii="宋体" w:hAnsi="宋体" w:eastAsia="宋体" w:cs="宋体"/>
      <w:color w:val="000000"/>
      <w:sz w:val="22"/>
      <w:szCs w:val="22"/>
      <w:u w:val="none"/>
    </w:rPr>
  </w:style>
  <w:style w:type="character" w:customStyle="1" w:styleId="77">
    <w:name w:val="font11"/>
    <w:basedOn w:val="26"/>
    <w:qFormat/>
    <w:uiPriority w:val="0"/>
    <w:rPr>
      <w:rFonts w:hint="eastAsia" w:ascii="宋体" w:hAnsi="宋体" w:eastAsia="宋体" w:cs="宋体"/>
      <w:i/>
      <w:iCs/>
      <w:color w:val="000000"/>
      <w:sz w:val="22"/>
      <w:szCs w:val="22"/>
      <w:u w:val="none"/>
    </w:rPr>
  </w:style>
  <w:style w:type="character" w:customStyle="1" w:styleId="78">
    <w:name w:val="font41"/>
    <w:basedOn w:val="26"/>
    <w:qFormat/>
    <w:uiPriority w:val="0"/>
    <w:rPr>
      <w:rFonts w:hint="eastAsia" w:ascii="宋体" w:hAnsi="宋体" w:eastAsia="宋体" w:cs="宋体"/>
      <w:color w:val="000000"/>
      <w:sz w:val="21"/>
      <w:szCs w:val="21"/>
      <w:u w:val="none"/>
    </w:rPr>
  </w:style>
  <w:style w:type="character" w:customStyle="1" w:styleId="79">
    <w:name w:val="font31"/>
    <w:basedOn w:val="26"/>
    <w:qFormat/>
    <w:uiPriority w:val="0"/>
    <w:rPr>
      <w:rFonts w:hint="default" w:ascii="Times New Roman" w:hAnsi="Times New Roman" w:cs="Times New Roman"/>
      <w:color w:val="000000"/>
      <w:sz w:val="21"/>
      <w:szCs w:val="21"/>
      <w:u w:val="none"/>
      <w:vertAlign w:val="superscript"/>
    </w:rPr>
  </w:style>
  <w:style w:type="character" w:customStyle="1" w:styleId="80">
    <w:name w:val="font21"/>
    <w:basedOn w:val="26"/>
    <w:qFormat/>
    <w:uiPriority w:val="0"/>
    <w:rPr>
      <w:rFonts w:hint="default" w:ascii="Times New Roman" w:hAnsi="Times New Roman" w:cs="Times New Roman"/>
      <w:color w:val="000000"/>
      <w:sz w:val="24"/>
      <w:szCs w:val="24"/>
      <w:u w:val="none"/>
    </w:rPr>
  </w:style>
  <w:style w:type="character" w:customStyle="1" w:styleId="81">
    <w:name w:val="font51"/>
    <w:basedOn w:val="26"/>
    <w:qFormat/>
    <w:uiPriority w:val="0"/>
    <w:rPr>
      <w:rFonts w:hint="eastAsia" w:ascii="宋体" w:hAnsi="宋体" w:eastAsia="宋体" w:cs="宋体"/>
      <w:color w:val="000000"/>
      <w:sz w:val="24"/>
      <w:szCs w:val="24"/>
      <w:u w:val="none"/>
    </w:rPr>
  </w:style>
  <w:style w:type="character" w:customStyle="1" w:styleId="82">
    <w:name w:val="font61"/>
    <w:basedOn w:val="26"/>
    <w:qFormat/>
    <w:uiPriority w:val="0"/>
    <w:rPr>
      <w:rFonts w:hint="default" w:ascii="Times New Roman" w:hAnsi="Times New Roman" w:cs="Times New Roman"/>
      <w:color w:val="000000"/>
      <w:sz w:val="22"/>
      <w:szCs w:val="22"/>
      <w:u w:val="none"/>
    </w:rPr>
  </w:style>
  <w:style w:type="paragraph" w:customStyle="1" w:styleId="83">
    <w:name w:val="++++++++正文"/>
    <w:basedOn w:val="1"/>
    <w:qFormat/>
    <w:uiPriority w:val="0"/>
    <w:pPr>
      <w:autoSpaceDE w:val="0"/>
      <w:autoSpaceDN w:val="0"/>
      <w:adjustRightInd w:val="0"/>
      <w:spacing w:line="360" w:lineRule="auto"/>
      <w:ind w:firstLine="200" w:firstLineChars="200"/>
    </w:pPr>
    <w:rPr>
      <w:sz w:val="24"/>
      <w:szCs w:val="20"/>
    </w:rPr>
  </w:style>
  <w:style w:type="paragraph" w:customStyle="1" w:styleId="84">
    <w:name w:val="电镀正文"/>
    <w:basedOn w:val="8"/>
    <w:qFormat/>
    <w:uiPriority w:val="0"/>
    <w:pPr>
      <w:spacing w:line="400" w:lineRule="exact"/>
      <w:ind w:firstLine="200" w:firstLineChars="200"/>
    </w:pPr>
    <w:rPr>
      <w:color w:val="auto"/>
      <w:sz w:val="24"/>
      <w:szCs w:val="24"/>
    </w:rPr>
  </w:style>
  <w:style w:type="paragraph" w:customStyle="1" w:styleId="85">
    <w:name w:val="报告书内容"/>
    <w:basedOn w:val="1"/>
    <w:qFormat/>
    <w:uiPriority w:val="0"/>
    <w:pPr>
      <w:ind w:firstLine="200" w:firstLineChars="200"/>
    </w:pPr>
    <w:rPr>
      <w:rFonts w:ascii="Times New Roman" w:hAnsi="Times New Roman" w:eastAsia="宋体"/>
      <w:kern w:val="0"/>
      <w:sz w:val="24"/>
      <w:szCs w:val="24"/>
    </w:rPr>
  </w:style>
  <w:style w:type="paragraph" w:customStyle="1" w:styleId="86">
    <w:name w:val="表头"/>
    <w:basedOn w:val="1"/>
    <w:next w:val="1"/>
    <w:qFormat/>
    <w:uiPriority w:val="0"/>
    <w:pPr>
      <w:spacing w:before="62" w:beforeLines="20" w:after="62" w:afterLines="20" w:line="240" w:lineRule="auto"/>
      <w:jc w:val="center"/>
    </w:pPr>
    <w:rPr>
      <w:b/>
    </w:rPr>
  </w:style>
  <w:style w:type="paragraph" w:customStyle="1" w:styleId="87">
    <w:name w:val="表中字"/>
    <w:qFormat/>
    <w:uiPriority w:val="0"/>
    <w:pPr>
      <w:jc w:val="center"/>
    </w:pPr>
    <w:rPr>
      <w:rFonts w:ascii="Times New Roman" w:hAnsi="Times New Roman" w:eastAsia="宋体" w:cs="Times New Roman"/>
      <w:kern w:val="2"/>
      <w:sz w:val="21"/>
      <w:szCs w:val="24"/>
      <w:lang w:val="en-US" w:eastAsia="zh-CN" w:bidi="ar-SA"/>
    </w:rPr>
  </w:style>
  <w:style w:type="paragraph" w:customStyle="1" w:styleId="88">
    <w:name w:val="表题"/>
    <w:basedOn w:val="62"/>
    <w:qFormat/>
    <w:uiPriority w:val="0"/>
    <w:pPr>
      <w:spacing w:before="62" w:beforeLines="20" w:after="62" w:afterLines="20" w:line="240" w:lineRule="auto"/>
      <w:ind w:firstLine="0" w:firstLineChars="0"/>
      <w:jc w:val="center"/>
    </w:pPr>
    <w:rPr>
      <w:b/>
      <w:sz w:val="21"/>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6" Type="http://schemas.openxmlformats.org/officeDocument/2006/relationships/fontTable" Target="fontTable.xml"/><Relationship Id="rId35" Type="http://schemas.openxmlformats.org/officeDocument/2006/relationships/numbering" Target="numbering.xml"/><Relationship Id="rId34" Type="http://schemas.openxmlformats.org/officeDocument/2006/relationships/customXml" Target="../customXml/item1.xml"/><Relationship Id="rId33" Type="http://schemas.openxmlformats.org/officeDocument/2006/relationships/image" Target="media/image26.png"/><Relationship Id="rId32" Type="http://schemas.openxmlformats.org/officeDocument/2006/relationships/image" Target="media/image25.wmf"/><Relationship Id="rId31" Type="http://schemas.openxmlformats.org/officeDocument/2006/relationships/oleObject" Target="embeddings/oleObject1.bin"/><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Info spid="_x0000_s207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250</Pages>
  <Words>161513</Words>
  <Characters>173627</Characters>
  <Lines>0</Lines>
  <Paragraphs>0</Paragraphs>
  <TotalTime>243</TotalTime>
  <ScaleCrop>false</ScaleCrop>
  <LinksUpToDate>false</LinksUpToDate>
  <CharactersWithSpaces>179330</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2020-08-03T03:25:00Z</dcterms:created>
  <dc:creator>meiqinga</dc:creator>
  <cp:lastModifiedBy>嘎嘎</cp:lastModifiedBy>
  <dcterms:modified xsi:type="dcterms:W3CDTF">2022-02-18T03:00:33Z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F1D2C547B87A4E83A0E19D1AFCBD98D2</vt:lpwstr>
  </property>
</Properties>
</file>