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widowControl/>
        <w:tabs>
          <w:tab w:val="left" w:pos="1569"/>
          <w:tab w:val="left" w:pos="3049"/>
          <w:tab w:val="left" w:pos="6909"/>
          <w:tab w:val="left" w:pos="8389"/>
          <w:tab w:val="left" w:pos="9909"/>
        </w:tabs>
        <w:spacing w:line="400" w:lineRule="exact"/>
        <w:ind w:left="89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项目支出绩效目标自评表</w:t>
      </w:r>
    </w:p>
    <w:p>
      <w:pPr>
        <w:widowControl/>
        <w:ind w:left="93"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eastAsia="宋体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年度）</w:t>
      </w:r>
    </w:p>
    <w:tbl>
      <w:tblPr>
        <w:tblStyle w:val="3"/>
        <w:tblW w:w="0" w:type="auto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19"/>
        <w:gridCol w:w="304"/>
        <w:gridCol w:w="805"/>
        <w:gridCol w:w="1275"/>
        <w:gridCol w:w="432"/>
        <w:gridCol w:w="1249"/>
        <w:gridCol w:w="779"/>
        <w:gridCol w:w="246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中央补助地方公共文化服务体系建设专项资金（全民健身补短板工程）苍溪县漓江镇多功能运动场建设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地方主管部门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苍溪县文化旅游和体育局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实施单位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漓江镇人民政府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年度总资金额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中央补助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（省级）地方资金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（县级）其他资金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15（乡镇自筹）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目标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三人制篮球场地、乒乓球场地、羽毛球场地、健身路径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建成5人制标准篮球场地1片；乒乓球场地2片；羽毛球场地2片；健身路径15件套。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场地总面积：1000㎡，场地类型：平行分布。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预期指标值（包含数字及文字描述）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实际完成指标值（包含数字及文字描述）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未完成原因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项目完成指 标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全民健身场地补短板工程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3人制标准篮球场地1片；建成乒乓球场地2片；建成羽毛球场地2片；健身路径15件套。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建成5人制标准篮球场地1片；乒乓球场地2片；羽毛球场地2片；健身路径15件套。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规格大小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篮球场14米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乒乓球10米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羽毛球场：13.4米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篮球场32米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乒乓球13米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羽毛球场：13.4米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符合全民健身场地器材补短板工程建设标准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2022年4月30日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2022年4月30日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投资额度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≦35万元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≦35万元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满足人民群众建身需求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成效显著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成效显著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生态环境影响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无影响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可持续影响指标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提升全民身体素质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群众满意度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51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</w:pPr>
            <w:r>
              <w:rPr>
                <w:rFonts w:hint="eastAsia"/>
              </w:rPr>
              <w:t>注：按批复的绩效目标填列三级指标和指标值。</w:t>
            </w:r>
            <w:r>
              <w:tab/>
            </w:r>
          </w:p>
          <w:p>
            <w:pPr>
              <w:pStyle w:val="2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jcyZjliZTliZmQ4N2JjNGMwN2EzNWVlZTE5YzIifQ=="/>
  </w:docVars>
  <w:rsids>
    <w:rsidRoot w:val="04006704"/>
    <w:rsid w:val="0400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0"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2022-08-19T07:26:00Z</dcterms:created>
  <dc:creator>系统管理:县文旅体局管理员</dc:creator>
  <cp:lastModifiedBy>系统管理:县文旅体局管理员</cp:lastModifiedBy>
  <dcterms:modified xsi:type="dcterms:W3CDTF">2022-08-19T07:27:24Z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ADFB4648CF9A4AE5B3D0F565115CD716</vt:lpwstr>
  </property>
</Properties>
</file>