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color w:val="auto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附件2</w:t>
      </w:r>
    </w:p>
    <w:p>
      <w:pPr>
        <w:pStyle w:val="2"/>
        <w:spacing w:afterLines="100" w:afterAutospacing="0" w:line="500" w:lineRule="exact"/>
        <w:ind w:left="1300" w:hanging="880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县属国有企业人员招聘岗位情况一览表</w:t>
      </w:r>
    </w:p>
    <w:tbl>
      <w:tblPr>
        <w:tblStyle w:val="3"/>
        <w:tblW w:w="13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"/>
        <w:gridCol w:w="795"/>
        <w:gridCol w:w="712"/>
        <w:gridCol w:w="780"/>
        <w:gridCol w:w="4323"/>
        <w:gridCol w:w="4675"/>
        <w:gridCol w:w="780"/>
        <w:gridCol w:w="621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tblHeader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序号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招聘</w:t>
            </w:r>
          </w:p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单位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岗位</w:t>
            </w:r>
          </w:p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名称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工作</w:t>
            </w:r>
          </w:p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部门</w:t>
            </w: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岗位主要工作描述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岗位要求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年龄</w:t>
            </w:r>
          </w:p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要求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需求名额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7" w:hRule="atLeast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苍溪县乡镇供水有限公司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项目（现场）管理员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工程管理部</w:t>
            </w: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1.负责项目包装、储备、固定资产投资、招商引资任务；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2.负责项目前期手续办理、项目全过程管理、竣工验收，办理竣工结算和审计等工作；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3.负责协调处理项目建设内外关系；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4.负责项目招投标文件、合同、项目实施方案的编制，负责审核项目资料和预决算；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5.负责项目相关文件的起草；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6.负责做好施工前和施工过程中的施工技术交底、技术复核、施工安全等工作；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7.负责项目建设资料的</w:t>
            </w:r>
            <w:r>
              <w:rPr>
                <w:rFonts w:hint="eastAsia" w:cs="微软雅黑" w:asciiTheme="minorEastAsia" w:hAnsiTheme="minorEastAsia" w:eastAsiaTheme="minorEastAsia"/>
                <w:color w:val="auto"/>
              </w:rPr>
              <w:t>管理和归档。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1.全日制大专及以上学历；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2.具有二级建造师及以上执业资格证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3.熟悉工程项目管理、造价管理、工程监理相关法律法规；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4.熟悉工程技术规范，前期立项到结算审计的整个流程和工程资料的管理；能独立处理施工过程中的技术管理问题，有较强的项目施工组织及综合协调能力；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</w:rPr>
              <w:t>5.具有3年以上施工现场管理相关工作经历</w:t>
            </w:r>
            <w:r>
              <w:rPr>
                <w:rFonts w:hint="eastAsia" w:ascii="宋体" w:hAnsi="宋体"/>
                <w:color w:val="auto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6.如分数相同，同时</w:t>
            </w:r>
            <w:r>
              <w:rPr>
                <w:rFonts w:hint="eastAsia" w:ascii="宋体" w:hAnsi="宋体" w:eastAsia="宋体"/>
                <w:color w:val="auto"/>
              </w:rPr>
              <w:t>具有二级造价师或造价员执业资格及以上且能使用宏业计价软件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的优先录用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45岁（含）以下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只接受现场报名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MDY4OGZjNWJkYjFlZDg5NmVmZmZmYzVmODM4YTYifQ=="/>
  </w:docVars>
  <w:rsids>
    <w:rsidRoot w:val="00000000"/>
    <w:rsid w:val="3826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99"/>
    <w:pPr>
      <w:spacing w:before="100" w:beforeAutospacing="1" w:after="100" w:afterAutospacing="1"/>
      <w:ind w:left="200" w:leftChars="200" w:hanging="200" w:hangingChars="200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2023-06-09T08:15:00Z</dcterms:created>
  <dc:creator>admin</dc:creator>
  <cp:lastModifiedBy>lcx</cp:lastModifiedBy>
  <dcterms:modified xsi:type="dcterms:W3CDTF">2023-06-09T08:15:08Z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545487CCCDDE4C37A79D83C6412BBBA8_12</vt:lpwstr>
  </property>
</Properties>
</file>