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附件1</w:t>
      </w:r>
    </w:p>
    <w:p>
      <w:pPr>
        <w:autoSpaceDE w:val="0"/>
        <w:spacing w:afterLines="50" w:line="576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公开招聘单位基本情况表</w:t>
      </w:r>
    </w:p>
    <w:tbl>
      <w:tblPr>
        <w:tblStyle w:val="3"/>
        <w:tblW w:w="4988" w:type="pct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0"/>
        <w:gridCol w:w="1039"/>
        <w:gridCol w:w="1936"/>
        <w:gridCol w:w="4578"/>
        <w:gridCol w:w="2531"/>
        <w:gridCol w:w="1543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6" w:hRule="atLeast"/>
        </w:trPr>
        <w:tc>
          <w:tcPr>
            <w:tcW w:w="37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序号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主管部门</w:t>
            </w:r>
          </w:p>
        </w:tc>
        <w:tc>
          <w:tcPr>
            <w:tcW w:w="192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招聘单位</w:t>
            </w:r>
          </w:p>
        </w:tc>
        <w:tc>
          <w:tcPr>
            <w:tcW w:w="4556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主要职能</w:t>
            </w:r>
          </w:p>
        </w:tc>
        <w:tc>
          <w:tcPr>
            <w:tcW w:w="251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单位地址</w:t>
            </w:r>
          </w:p>
        </w:tc>
        <w:tc>
          <w:tcPr>
            <w:tcW w:w="153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联系人</w:t>
            </w:r>
          </w:p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联系电话</w:t>
            </w:r>
          </w:p>
        </w:tc>
        <w:tc>
          <w:tcPr>
            <w:tcW w:w="1963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报名邮箱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7" w:hRule="atLeast"/>
        </w:trPr>
        <w:tc>
          <w:tcPr>
            <w:tcW w:w="37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  <w:spacing w:val="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4"/>
              </w:rPr>
              <w:t>苍溪县国有资产和金融事务中心</w:t>
            </w:r>
          </w:p>
        </w:tc>
        <w:tc>
          <w:tcPr>
            <w:tcW w:w="192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  <w:spacing w:val="4"/>
              </w:rPr>
            </w:pPr>
            <w:r>
              <w:rPr>
                <w:rFonts w:hint="eastAsia" w:asciiTheme="majorEastAsia" w:hAnsiTheme="majorEastAsia" w:eastAsiaTheme="majorEastAsia"/>
              </w:rPr>
              <w:t>四川聚宝源投资有限公司</w:t>
            </w:r>
          </w:p>
        </w:tc>
        <w:tc>
          <w:tcPr>
            <w:tcW w:w="4556" w:type="dxa"/>
            <w:vAlign w:val="center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/>
                <w:color w:val="auto"/>
                <w:spacing w:val="4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主要从事国有土地整理储备复垦开发、砂石及矿石资源经营管理、燃气销售、地籍测绘等工作。</w:t>
            </w:r>
          </w:p>
        </w:tc>
        <w:tc>
          <w:tcPr>
            <w:tcW w:w="251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  <w:spacing w:val="4"/>
              </w:rPr>
            </w:pPr>
            <w:r>
              <w:rPr>
                <w:rFonts w:hint="eastAsia" w:asciiTheme="majorEastAsia" w:hAnsiTheme="majorEastAsia" w:eastAsiaTheme="majorEastAsia"/>
              </w:rPr>
              <w:t>苍溪县云峰镇陶家垭G212东北侧</w:t>
            </w:r>
          </w:p>
        </w:tc>
        <w:tc>
          <w:tcPr>
            <w:tcW w:w="1537" w:type="dxa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侯森</w:t>
            </w:r>
          </w:p>
          <w:p>
            <w:pPr>
              <w:pStyle w:val="5"/>
              <w:spacing w:before="0" w:beforeAutospacing="0" w:after="0" w:afterAutospacing="0" w:line="280" w:lineRule="exact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</w:rPr>
              <w:t>13981278166</w:t>
            </w:r>
          </w:p>
        </w:tc>
        <w:tc>
          <w:tcPr>
            <w:tcW w:w="1963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  <w:spacing w:val="4"/>
              </w:rPr>
            </w:pPr>
            <w:r>
              <w:rPr>
                <w:rFonts w:hint="eastAsia" w:asciiTheme="majorEastAsia" w:hAnsiTheme="majorEastAsia" w:eastAsiaTheme="majorEastAsia"/>
              </w:rPr>
              <w:t>只接受现场报名</w:t>
            </w:r>
          </w:p>
        </w:tc>
      </w:tr>
    </w:tbl>
    <w:p>
      <w:pPr>
        <w:spacing w:line="576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DNlMjMyYzNiNGQwZmM5YzgwMmU3NzlhMDM3ODgifQ=="/>
  </w:docVars>
  <w:rsids>
    <w:rsidRoot w:val="252F4478"/>
    <w:rsid w:val="252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 w:after="140" w:line="288" w:lineRule="auto"/>
    </w:pPr>
  </w:style>
  <w:style w:type="paragraph" w:customStyle="1" w:styleId="5">
    <w:name w:val="正文首行缩进 211"/>
    <w:basedOn w:val="6"/>
    <w:qFormat/>
    <w:uiPriority w:val="0"/>
    <w:pPr>
      <w:ind w:firstLine="420" w:firstLineChars="200"/>
    </w:pPr>
  </w:style>
  <w:style w:type="paragraph" w:customStyle="1" w:styleId="6">
    <w:name w:val="正文文本缩进11"/>
    <w:basedOn w:val="1"/>
    <w:qFormat/>
    <w:uiPriority w:val="0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2023-07-10T09:05:00Z</dcterms:created>
  <dc:creator>HashTree</dc:creator>
  <cp:lastModifiedBy>HashTree</cp:lastModifiedBy>
  <dcterms:modified xsi:type="dcterms:W3CDTF">2023-07-10T09:05:49Z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3080A8DCB1C84F3BA7D17172568DAAA7_11</vt:lpwstr>
  </property>
</Properties>
</file>