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16" w:rsidRPr="00AA1E16" w:rsidRDefault="00AA1E16">
      <w:pPr>
        <w:rPr>
          <w:rFonts w:ascii="黑体" w:eastAsia="黑体" w:hAnsi="黑体" w:hint="eastAsia"/>
          <w:sz w:val="28"/>
        </w:rPr>
      </w:pPr>
      <w:r w:rsidRPr="00AA1E16">
        <w:rPr>
          <w:rFonts w:ascii="黑体" w:eastAsia="黑体" w:hAnsi="黑体" w:hint="eastAsia"/>
          <w:sz w:val="28"/>
        </w:rPr>
        <w:t>附件</w:t>
      </w:r>
    </w:p>
    <w:p w:rsidR="00AA1E16" w:rsidRDefault="00AA1E16">
      <w:pPr>
        <w:rPr>
          <w:rFonts w:hint="eastAsia"/>
        </w:rPr>
      </w:pPr>
    </w:p>
    <w:p w:rsidR="00F60C93" w:rsidRPr="00AA1E16" w:rsidRDefault="00AA1E16" w:rsidP="00AA1E16">
      <w:pPr>
        <w:jc w:val="center"/>
        <w:rPr>
          <w:rFonts w:ascii="方正小标宋简体" w:eastAsia="方正小标宋简体" w:hint="eastAsia"/>
          <w:sz w:val="36"/>
        </w:rPr>
      </w:pPr>
      <w:r w:rsidRPr="00AA1E16">
        <w:rPr>
          <w:rFonts w:ascii="方正小标宋简体" w:eastAsia="方正小标宋简体" w:hint="eastAsia"/>
          <w:sz w:val="36"/>
        </w:rPr>
        <w:t>2019年苍溪县科技计划拟立项项目清单</w:t>
      </w:r>
    </w:p>
    <w:p w:rsidR="00AA1E16" w:rsidRDefault="00AA1E16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733"/>
        <w:gridCol w:w="1704"/>
        <w:gridCol w:w="2226"/>
        <w:gridCol w:w="1184"/>
      </w:tblGrid>
      <w:tr w:rsidR="00AA1E16" w:rsidTr="00AA1E16">
        <w:trPr>
          <w:trHeight w:hRule="exact" w:val="737"/>
          <w:tblHeader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申报书类别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申报单位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备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  <w:t xml:space="preserve"> </w:t>
            </w: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注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GABA糙米制备及适度加工关键技术及应用研究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重点研发项目(工业)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苍溪县金农粮油有限责任公司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三色水墨印刷机自动化工艺改进与应用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重点研发项目(工业)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苍溪县华瑞印刷有限责任公司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农业林业废弃物综合开发利用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重点研发项目(工业)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四川生瑞新能源科技开发有限公司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苍溪早熟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梨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高产栽培集成技术创新与示范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重点研发项目(农业)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四川苍溪梨研究所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新品种瑞玉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猕猴桃引种区域试验基地建设及关键技术研究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重点研发项目(农业)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四川苍溪猕猴桃研究所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苍溪县油菜产业化生产技术集成与示范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重点研发项目(农业)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苍溪县益康粮油专业合作社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红心猕猴桃丰产高效种植技术集成示范园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重点研发项目(农业)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苍溪县惠农生态猕猴桃产业技术研究院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红心猕猴桃主要病虫害识别与防治研究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软科学（2019年度）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四川省苍溪县职业高级中学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猕猴桃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溃疡病毁园重建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试验与示范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成果转化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苍溪县冯氏猕猴桃专业合作社、苍溪县益禾农业发展有限责任公司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油用牡丹种植技术研究和应用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成果转化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四川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白鹭湖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农业综合开发有限责任公司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不同类型猕猴桃避雨设施大棚研究与示范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成果转化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苍溪县华斌猕猴桃专业合作社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科技特派员专项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科技扶贫专项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苍溪县农村产业技术服务中心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鱼菜共生技术集成示范与推广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科技扶贫专项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苍溪县海明甲鱼养殖专业合作社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猕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药立体种植扶贫示范基地建设项目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科技扶贫专项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苍溪县宜康中药材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种植专业合作社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拔尖创新人才基地班课程建构的研究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重点研发项目(社发)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苍溪县中小学教学研究室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lastRenderedPageBreak/>
              <w:t>16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农村产业技术服务专项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服务专项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苍溪县农村产业技术服务中心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F4493B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科技管理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F4493B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管理专项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F4493B">
            <w:pPr>
              <w:widowControl/>
              <w:spacing w:line="240" w:lineRule="exact"/>
              <w:jc w:val="left"/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苍溪县教科局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电子纤维支气管镜代替内科胸腔镜临床研究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</w:t>
            </w:r>
            <w:bookmarkStart w:id="0" w:name="_GoBack"/>
            <w:bookmarkEnd w:id="0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Rh系统D、C、c、E、e抗原配合输血在输血治疗中的应用价值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氨溴索注射液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治疗慢性支气管炎急性发作的疗效及对PO2、PCO2的影响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氯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吡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格雷预防冠心病介入治疗心血管不良事件的疗效探讨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窄带成像技术（NBI）联合碘染色运用于内镜下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食管早癌的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诊断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乙肝血清标志物和HBV DNA检测联合使用在乙肝中的临床应用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苍溪县人民医院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  <w:tr w:rsidR="00AA1E16" w:rsidTr="00AA1E16">
        <w:trPr>
          <w:trHeight w:hRule="exact" w:val="737"/>
        </w:trPr>
        <w:tc>
          <w:tcPr>
            <w:tcW w:w="675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2733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祛屑止痒</w:t>
            </w:r>
            <w:proofErr w:type="gramStart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汤联合阿</w:t>
            </w:r>
            <w:proofErr w:type="gramEnd"/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维A治疗寻常型银屑病的临床疗效研究</w:t>
            </w:r>
          </w:p>
        </w:tc>
        <w:tc>
          <w:tcPr>
            <w:tcW w:w="170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重点研发项目</w:t>
            </w:r>
          </w:p>
        </w:tc>
        <w:tc>
          <w:tcPr>
            <w:tcW w:w="2226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苍溪县皮肤病性病防治院</w:t>
            </w:r>
          </w:p>
        </w:tc>
        <w:tc>
          <w:tcPr>
            <w:tcW w:w="1184" w:type="dxa"/>
            <w:vAlign w:val="center"/>
          </w:tcPr>
          <w:p w:rsidR="00AA1E16" w:rsidRPr="00971982" w:rsidRDefault="00AA1E16" w:rsidP="00AA1E16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71982">
              <w:rPr>
                <w:rFonts w:ascii="仿宋_GB2312" w:eastAsia="仿宋_GB2312" w:hAnsi="宋体" w:cs="宋体" w:hint="eastAsia"/>
                <w:color w:val="000000"/>
                <w:kern w:val="0"/>
              </w:rPr>
              <w:t>经费自筹</w:t>
            </w:r>
          </w:p>
        </w:tc>
      </w:tr>
    </w:tbl>
    <w:p w:rsidR="00AA1E16" w:rsidRDefault="00AA1E16"/>
    <w:sectPr w:rsidR="00AA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6"/>
    <w:rsid w:val="00AA1E16"/>
    <w:rsid w:val="00F4493B"/>
    <w:rsid w:val="00F6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1010</Characters>
  <Application>Microsoft Office Word</Application>
  <DocSecurity>0</DocSecurity>
  <Lines>8</Lines>
  <Paragraphs>2</Paragraphs>
  <ScaleCrop>false</ScaleCrop>
  <Company>微软公司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2</cp:revision>
  <dcterms:created xsi:type="dcterms:W3CDTF">2019-12-11T06:25:00Z</dcterms:created>
  <dcterms:modified xsi:type="dcterms:W3CDTF">2019-12-11T06:31:00Z</dcterms:modified>
</cp:coreProperties>
</file>