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hd w:val="clear" w:color="auto" w:fill="auto"/>
        <w:spacing w:line="500" w:lineRule="exact"/>
        <w:jc w:val="both"/>
        <w:rPr>
          <w:rFonts w:hint="default"/>
          <w:color w:val="000000"/>
          <w:lang w:val="en-US" w:eastAsia="zh-CN"/>
        </w:rPr>
      </w:pPr>
      <w:r>
        <w:rPr>
          <w:rFonts w:hint="eastAsia" w:ascii="黑体" w:hAnsi="黑体" w:eastAsia="黑体" w:cs="黑体"/>
          <w:color w:val="000000"/>
          <w:spacing w:val="-8"/>
          <w:kern w:val="10"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color w:val="000000"/>
          <w:spacing w:val="-8"/>
          <w:kern w:val="10"/>
          <w:sz w:val="32"/>
          <w:szCs w:val="32"/>
          <w:lang w:val="en-US" w:eastAsia="zh-CN"/>
        </w:rPr>
        <w:t>5</w:t>
      </w:r>
    </w:p>
    <w:p>
      <w:pPr>
        <w:shd w:val="clear" w:color="auto" w:fill="auto"/>
        <w:spacing w:line="500" w:lineRule="exact"/>
        <w:jc w:val="center"/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</w:rPr>
      </w:pPr>
      <w:bookmarkStart w:id="0" w:name="_GoBack"/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</w:rPr>
        <w:t>202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  <w:lang w:val="en-US" w:eastAsia="zh-CN"/>
        </w:rPr>
        <w:t>2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</w:rPr>
        <w:t>年度民办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  <w:lang w:eastAsia="zh-CN"/>
        </w:rPr>
        <w:t>高中</w:t>
      </w:r>
      <w:r>
        <w:rPr>
          <w:rFonts w:hint="eastAsia" w:ascii="方正小标宋简体" w:hAnsi="方正小标宋简体" w:eastAsia="方正小标宋简体" w:cs="方正小标宋简体"/>
          <w:color w:val="000000"/>
          <w:spacing w:val="-8"/>
          <w:kern w:val="10"/>
          <w:sz w:val="36"/>
          <w:szCs w:val="36"/>
        </w:rPr>
        <w:t>年检量化表</w:t>
      </w:r>
    </w:p>
    <w:bookmarkEnd w:id="0"/>
    <w:tbl>
      <w:tblPr>
        <w:tblStyle w:val="3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38"/>
        <w:gridCol w:w="1259"/>
        <w:gridCol w:w="1526"/>
        <w:gridCol w:w="1526"/>
        <w:gridCol w:w="1643"/>
        <w:gridCol w:w="522"/>
        <w:gridCol w:w="567"/>
        <w:gridCol w:w="280"/>
        <w:gridCol w:w="55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28" w:hRule="atLeast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基本</w:t>
            </w:r>
          </w:p>
          <w:p>
            <w:pPr>
              <w:shd w:val="clear" w:color="auto" w:fill="auto"/>
              <w:spacing w:line="280" w:lineRule="exact"/>
              <w:jc w:val="center"/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情况</w:t>
            </w:r>
          </w:p>
        </w:tc>
        <w:tc>
          <w:tcPr>
            <w:tcW w:w="1259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学校名称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办学性质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教职工数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11" w:hRule="atLeast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1259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许可内容</w:t>
            </w:r>
          </w:p>
        </w:tc>
        <w:tc>
          <w:tcPr>
            <w:tcW w:w="1526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1526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举办者及电话</w:t>
            </w:r>
          </w:p>
        </w:tc>
        <w:tc>
          <w:tcPr>
            <w:tcW w:w="1643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  <w:tc>
          <w:tcPr>
            <w:tcW w:w="1089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学生人数</w:t>
            </w:r>
          </w:p>
        </w:tc>
        <w:tc>
          <w:tcPr>
            <w:tcW w:w="83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43" w:hRule="atLeast"/>
        </w:trPr>
        <w:tc>
          <w:tcPr>
            <w:tcW w:w="1038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项目及</w:t>
            </w:r>
          </w:p>
          <w:p>
            <w:pPr>
              <w:shd w:val="clear" w:color="auto" w:fill="auto"/>
              <w:spacing w:line="280" w:lineRule="exact"/>
              <w:jc w:val="center"/>
              <w:rPr>
                <w:rFonts w:eastAsia="方正黑体_GBK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分值</w:t>
            </w:r>
          </w:p>
        </w:tc>
        <w:tc>
          <w:tcPr>
            <w:tcW w:w="6476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内容及计分规则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得分</w:t>
            </w:r>
          </w:p>
        </w:tc>
        <w:tc>
          <w:tcPr>
            <w:tcW w:w="556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9" w:hRule="atLeast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一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党的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建设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）</w:t>
            </w:r>
          </w:p>
        </w:tc>
        <w:tc>
          <w:tcPr>
            <w:tcW w:w="6476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color w:val="000000"/>
                <w:sz w:val="18"/>
                <w:szCs w:val="18"/>
              </w:rPr>
              <w:t>全面贯彻党的教育方针，坚持社会主义办学方向，落实立德树人根本任务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，将党的建设纳入学校办学章程。（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2" w:hRule="atLeast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6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凡</w:t>
            </w:r>
            <w:r>
              <w:rPr>
                <w:color w:val="000000"/>
                <w:sz w:val="18"/>
                <w:szCs w:val="18"/>
              </w:rPr>
              <w:t>有3名以上正式党员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要</w:t>
            </w:r>
            <w:r>
              <w:rPr>
                <w:color w:val="000000"/>
                <w:sz w:val="18"/>
                <w:szCs w:val="18"/>
              </w:rPr>
              <w:t>建立党组织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党员人数不足3名的，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采取联合组建、挂靠组建等形式建立党组织。（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6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18"/>
                <w:szCs w:val="18"/>
              </w:rPr>
              <w:t>开设“道德与法治”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等</w:t>
            </w:r>
            <w:r>
              <w:rPr>
                <w:color w:val="000000"/>
                <w:sz w:val="18"/>
                <w:szCs w:val="18"/>
              </w:rPr>
              <w:t>必修课程，使用国家统编教材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68" w:hRule="atLeast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6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建立德育工作机制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建立共青团组织，积极开展主题教育活动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3" w:hRule="atLeast"/>
        </w:trPr>
        <w:tc>
          <w:tcPr>
            <w:tcW w:w="1038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二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办学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条件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40分</w:t>
            </w: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）</w:t>
            </w:r>
          </w:p>
        </w:tc>
        <w:tc>
          <w:tcPr>
            <w:tcW w:w="6476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有独立、安全、稳定的办学场所，具备房屋产权证或房屋租赁合同合法有效且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4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年以上</w:t>
            </w:r>
            <w:r>
              <w:rPr>
                <w:rFonts w:hint="eastAsia" w:eastAsia="宋体" w:cs="宋体"/>
                <w:color w:val="000000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具备房屋安全鉴定报告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、消防鉴定（备案）资料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新建或新装修房屋有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空气质量检测报告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校园封闭管理。（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3" w:hRule="atLeast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6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Times New Roman" w:hAnsi="Times New Roman" w:cs="Times New Roman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办学许可证正（副）本、法人登记证等资质合法有效，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完成法人登记和分类登记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color w:val="000000"/>
                <w:sz w:val="18"/>
                <w:szCs w:val="18"/>
              </w:rPr>
              <w:t>办学许可证、法人登记证内容与实际相符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学校名称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与办学许可证一致，</w:t>
            </w:r>
            <w:r>
              <w:rPr>
                <w:color w:val="000000"/>
                <w:sz w:val="18"/>
                <w:szCs w:val="18"/>
              </w:rPr>
              <w:t>变更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符合程序，无</w:t>
            </w:r>
            <w:r>
              <w:rPr>
                <w:color w:val="000000"/>
                <w:sz w:val="18"/>
                <w:szCs w:val="18"/>
              </w:rPr>
              <w:t>出租、出借、转让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</w:t>
            </w:r>
            <w:r>
              <w:rPr>
                <w:color w:val="000000"/>
                <w:sz w:val="18"/>
                <w:szCs w:val="18"/>
              </w:rPr>
              <w:t>擅自设立教学点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、分支机构等行为。（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6分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2372" w:hRule="atLeast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6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严格执行招生计划，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学校办学规模不少于6个班，班额不超过50人。学生人均占地面积不少于12平方米，学生人均建筑面积不少于5平方米，学生人均活动面积不少于3平方米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有充足的体育活动场地，12个班以上有300m环形跑道兼100m直跑道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有国旗、旗杆；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校园网络通畅、安全，多功能教室2间以上，语音室1间以上，微机室满足教学需要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有符合标准、满足教学需要的实验室、图书室、阅览室、音乐室、劳技室、档案室等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教学仪器、音、体、美、卫、劳器材达到《四川省中小学教育技术装备和管理评估细则》中初中办学条件基本要求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，报纸、杂志不少于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20种，生均印刷图书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不少于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25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册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.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3" w:hRule="atLeast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6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设置符合标准的师生食堂，取得《食品经营许可证》，有独立、封闭的男、女生宿舍，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宿舍、食堂、医务室等后勤设施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设备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符合要求，食堂从业人员、医务人员等持证上岗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，操作流程规范。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（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5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分）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3" w:hRule="atLeast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6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校长具有从教5年以上经历，具有大学本科以上学历和中学校长任职资格合格证书。教师应具有高中教师资格，其中本科以上学历的应占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8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0%以上，专职教师占教师总数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7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  <w:t>0%以上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501" w:hRule="atLeast"/>
        </w:trPr>
        <w:tc>
          <w:tcPr>
            <w:tcW w:w="1038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76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Calibri" w:hAnsi="Calibri" w:eastAsia="宋体" w:cs="Times New Roman"/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建立并执行财务、会计制度和资产管理制度，健全内控制度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；</w:t>
            </w:r>
            <w:r>
              <w:rPr>
                <w:color w:val="000000"/>
                <w:sz w:val="18"/>
                <w:szCs w:val="18"/>
              </w:rPr>
              <w:t>建立收退费标准与制度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，收费先备案后公示再收费；</w:t>
            </w:r>
            <w:r>
              <w:rPr>
                <w:color w:val="000000"/>
                <w:sz w:val="18"/>
                <w:szCs w:val="18"/>
              </w:rPr>
              <w:t>收费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出具税务发票，</w:t>
            </w:r>
            <w:r>
              <w:rPr>
                <w:color w:val="000000"/>
                <w:sz w:val="18"/>
                <w:szCs w:val="18"/>
              </w:rPr>
              <w:t>收费周期符合有关规定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color w:val="000000"/>
                <w:sz w:val="18"/>
                <w:szCs w:val="18"/>
              </w:rPr>
              <w:t>高中阶段不跨学年收费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）；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收费严格执行“收支两条线”管理，</w:t>
            </w:r>
            <w:r>
              <w:rPr>
                <w:color w:val="000000"/>
                <w:sz w:val="18"/>
                <w:szCs w:val="18"/>
              </w:rPr>
              <w:t>收取费用、开展活动的资金往来，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通过</w:t>
            </w:r>
            <w:r>
              <w:rPr>
                <w:color w:val="000000"/>
                <w:sz w:val="18"/>
                <w:szCs w:val="18"/>
              </w:rPr>
              <w:t>备案的账户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严禁坐收坐支；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每年度进行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会计核算，编制会计报告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具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有符合要求的</w:t>
            </w:r>
            <w:r>
              <w:rPr>
                <w:rFonts w:ascii="Calibri" w:hAnsi="Calibri" w:eastAsia="宋体" w:cs="Times New Roman"/>
                <w:color w:val="000000"/>
                <w:sz w:val="18"/>
                <w:szCs w:val="18"/>
              </w:rPr>
              <w:t>审计报告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。（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val="en-US" w:eastAsia="zh-CN"/>
              </w:rPr>
              <w:t>6分</w:t>
            </w:r>
            <w:r>
              <w:rPr>
                <w:rFonts w:hint="eastAsia" w:ascii="Calibri" w:hAnsi="Calibri" w:eastAsia="宋体" w:cs="Times New Roman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7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5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rPr>
          <w:color w:val="000000"/>
        </w:rPr>
      </w:pPr>
    </w:p>
    <w:tbl>
      <w:tblPr>
        <w:tblStyle w:val="3"/>
        <w:tblpPr w:leftFromText="180" w:rightFromText="180" w:vertAnchor="text" w:horzAnchor="page" w:tblpX="1730" w:tblpY="-205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039"/>
        <w:gridCol w:w="6450"/>
        <w:gridCol w:w="6"/>
        <w:gridCol w:w="840"/>
        <w:gridCol w:w="5"/>
        <w:gridCol w:w="57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23" w:hRule="atLeast"/>
        </w:trPr>
        <w:tc>
          <w:tcPr>
            <w:tcW w:w="1039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项目及</w:t>
            </w:r>
          </w:p>
          <w:p>
            <w:pPr>
              <w:shd w:val="clear" w:color="auto" w:fill="auto"/>
              <w:spacing w:line="280" w:lineRule="exact"/>
              <w:jc w:val="center"/>
              <w:rPr>
                <w:rFonts w:eastAsia="方正黑体_GBK"/>
                <w:color w:val="000000"/>
                <w:sz w:val="18"/>
                <w:szCs w:val="18"/>
                <w:lang w:val="en"/>
              </w:rPr>
            </w:pPr>
            <w:r>
              <w:rPr>
                <w:rFonts w:hint="eastAsia" w:eastAsia="仿宋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分值</w:t>
            </w: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内容及计分规则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得分</w:t>
            </w:r>
          </w:p>
        </w:tc>
        <w:tc>
          <w:tcPr>
            <w:tcW w:w="576" w:type="dxa"/>
            <w:noWrap w:val="0"/>
            <w:vAlign w:val="center"/>
          </w:tcPr>
          <w:p>
            <w:pPr>
              <w:shd w:val="clear" w:color="auto" w:fill="auto"/>
              <w:spacing w:line="280" w:lineRule="exact"/>
              <w:jc w:val="center"/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</w:pPr>
            <w:r>
              <w:rPr>
                <w:rFonts w:hint="eastAsia" w:ascii="Calibri" w:hAnsi="Calibri" w:eastAsia="仿宋" w:cs="Times New Roman"/>
                <w:b/>
                <w:bCs w:val="0"/>
                <w:color w:val="000000"/>
                <w:kern w:val="0"/>
                <w:sz w:val="21"/>
                <w:szCs w:val="21"/>
                <w:lang w:val="en" w:eastAsia="zh-CN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1" w:hRule="atLeast"/>
        </w:trPr>
        <w:tc>
          <w:tcPr>
            <w:tcW w:w="1039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三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常规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管理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25分</w:t>
            </w: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）</w:t>
            </w: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color w:val="000000"/>
                <w:sz w:val="18"/>
                <w:szCs w:val="18"/>
              </w:rPr>
              <w:t>章程内容规范，章程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变更、</w:t>
            </w:r>
            <w:r>
              <w:rPr>
                <w:color w:val="000000"/>
                <w:sz w:val="18"/>
                <w:szCs w:val="18"/>
              </w:rPr>
              <w:t>修订程序合法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及时报教育行政主管部门备案并公示。招生广告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color w:val="000000"/>
                <w:sz w:val="18"/>
                <w:szCs w:val="18"/>
              </w:rPr>
              <w:t>简章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color w:val="000000"/>
                <w:sz w:val="18"/>
                <w:szCs w:val="18"/>
              </w:rPr>
              <w:t>内容真实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，审查备案，义务教育</w:t>
            </w:r>
            <w:r>
              <w:rPr>
                <w:color w:val="000000"/>
                <w:sz w:val="18"/>
                <w:szCs w:val="18"/>
              </w:rPr>
              <w:t>免试入学，无贿招行为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671" w:hRule="atLeast"/>
        </w:trPr>
        <w:tc>
          <w:tcPr>
            <w:tcW w:w="1039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color w:val="000000"/>
                <w:sz w:val="18"/>
                <w:szCs w:val="18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eastAsia="zh-CN"/>
              </w:rPr>
              <w:t>教学管理制度健全，执行好，开设课程与备案的招生简章相符，教师上课有教案，学校有教案及教学检查记载，定期开展教育教学研究，有活动记录。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认真落实“双减双规范”工作要求，</w:t>
            </w:r>
            <w:r>
              <w:rPr>
                <w:color w:val="000000"/>
                <w:sz w:val="18"/>
                <w:szCs w:val="18"/>
              </w:rPr>
              <w:t>开齐开足国家规定课程；严格落实作业、睡眠、体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质</w:t>
            </w:r>
            <w:r>
              <w:rPr>
                <w:color w:val="000000"/>
                <w:sz w:val="18"/>
                <w:szCs w:val="18"/>
              </w:rPr>
              <w:t>监测、读物进校园、手机管理等“五项管理”要求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，</w:t>
            </w:r>
            <w:r>
              <w:rPr>
                <w:color w:val="000000"/>
                <w:sz w:val="18"/>
                <w:szCs w:val="18"/>
              </w:rPr>
              <w:t>无违规补课行为。至少配备一名专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color w:val="000000"/>
                <w:sz w:val="18"/>
                <w:szCs w:val="18"/>
              </w:rPr>
              <w:t>兼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  <w:r>
              <w:rPr>
                <w:color w:val="000000"/>
                <w:sz w:val="18"/>
                <w:szCs w:val="18"/>
              </w:rPr>
              <w:t>职心理健康教育教师，开展心理健康教育活动。学生缺课，及时与家长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联系</w:t>
            </w:r>
            <w:r>
              <w:rPr>
                <w:color w:val="000000"/>
                <w:sz w:val="18"/>
                <w:szCs w:val="18"/>
              </w:rPr>
              <w:t>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无体罚、变相体罚和猥亵学生等违反师德师风行为。（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10分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07" w:hRule="atLeast"/>
        </w:trPr>
        <w:tc>
          <w:tcPr>
            <w:tcW w:w="1039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color w:val="000000"/>
                <w:sz w:val="18"/>
                <w:szCs w:val="18"/>
              </w:rPr>
              <w:t>聘用教职工签订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劳动</w:t>
            </w:r>
            <w:r>
              <w:rPr>
                <w:color w:val="000000"/>
                <w:sz w:val="18"/>
                <w:szCs w:val="18"/>
              </w:rPr>
              <w:t>合同，按时足额支付工资，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保障福利待遇、</w:t>
            </w:r>
            <w:r>
              <w:rPr>
                <w:color w:val="000000"/>
                <w:sz w:val="18"/>
                <w:szCs w:val="18"/>
              </w:rPr>
              <w:t>社会保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障和医疗保障等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.。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5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576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02" w:hRule="atLeast"/>
        </w:trPr>
        <w:tc>
          <w:tcPr>
            <w:tcW w:w="1039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0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eastAsia="宋体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完成下达的目标任务，办学成效好，社会声誉好。（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81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95" w:hRule="atLeast"/>
        </w:trPr>
        <w:tc>
          <w:tcPr>
            <w:tcW w:w="1039" w:type="dxa"/>
            <w:vMerge w:val="restart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四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安全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卫生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8"/>
                <w:szCs w:val="18"/>
                <w:lang w:val="en"/>
              </w:rPr>
              <w:t>管理</w:t>
            </w:r>
          </w:p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  <w:r>
              <w:rPr>
                <w:color w:val="000000"/>
                <w:sz w:val="16"/>
                <w:szCs w:val="16"/>
                <w:lang w:val="en"/>
              </w:rPr>
              <w:t>（</w:t>
            </w:r>
            <w:r>
              <w:rPr>
                <w:rFonts w:hint="eastAsia"/>
                <w:color w:val="000000"/>
                <w:sz w:val="16"/>
                <w:szCs w:val="16"/>
                <w:lang w:val="en-US" w:eastAsia="zh-CN"/>
              </w:rPr>
              <w:t>30</w:t>
            </w:r>
            <w:r>
              <w:rPr>
                <w:color w:val="000000"/>
                <w:sz w:val="16"/>
                <w:szCs w:val="16"/>
              </w:rPr>
              <w:t>分</w:t>
            </w:r>
            <w:r>
              <w:rPr>
                <w:color w:val="000000"/>
                <w:sz w:val="16"/>
                <w:szCs w:val="16"/>
                <w:lang w:val="en"/>
              </w:rPr>
              <w:t>）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shd w:val="clear" w:color="auto" w:fill="auto"/>
              <w:spacing w:line="210" w:lineRule="exact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建立健全安全管理机制，</w:t>
            </w:r>
            <w:r>
              <w:rPr>
                <w:color w:val="000000"/>
                <w:sz w:val="18"/>
                <w:szCs w:val="18"/>
              </w:rPr>
              <w:t>法定代表人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作为</w:t>
            </w:r>
            <w:r>
              <w:rPr>
                <w:color w:val="000000"/>
                <w:sz w:val="18"/>
                <w:szCs w:val="18"/>
              </w:rPr>
              <w:t>安全管理第一责任人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落实好。每周至少开展一次安全检查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，建立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整改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台账。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81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1087" w:hRule="atLeast"/>
        </w:trPr>
        <w:tc>
          <w:tcPr>
            <w:tcW w:w="1039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0" w:type="dxa"/>
            <w:noWrap w:val="0"/>
            <w:vAlign w:val="center"/>
          </w:tcPr>
          <w:p>
            <w:pPr>
              <w:shd w:val="clear" w:color="auto" w:fill="auto"/>
              <w:spacing w:line="210" w:lineRule="exact"/>
              <w:rPr>
                <w:rFonts w:hint="eastAsia" w:eastAsia="宋体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教学楼、学生宿舍楼</w:t>
            </w:r>
            <w:r>
              <w:rPr>
                <w:rFonts w:hint="eastAsia"/>
                <w:color w:val="000000"/>
                <w:sz w:val="18"/>
                <w:szCs w:val="18"/>
              </w:rPr>
              <w:t>每层楼梯间、安全出口不得封闭，走道、楼梯间和出入口的显著位置设置消防疏散标志和应急灯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</w:t>
            </w:r>
            <w:r>
              <w:rPr>
                <w:color w:val="000000"/>
                <w:sz w:val="18"/>
                <w:szCs w:val="18"/>
              </w:rPr>
              <w:t>内部电器、开关设施安全，安装漏电保护装置，电线按规范纳管，无乱拉乱接电线，无电线老化。</w:t>
            </w:r>
            <w:r>
              <w:rPr>
                <w:rFonts w:hint="eastAsia"/>
                <w:color w:val="000000"/>
                <w:sz w:val="18"/>
                <w:szCs w:val="18"/>
              </w:rPr>
              <w:t>严禁在卫生间、浴室安装煤气或燃气热水器。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配备专（兼）职宿管员，女生宿舍必须是女宿管员，学生休息期间有专人值班。（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81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06" w:hRule="atLeast"/>
        </w:trPr>
        <w:tc>
          <w:tcPr>
            <w:tcW w:w="1039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6"/>
                <w:szCs w:val="16"/>
                <w:lang w:val="en"/>
              </w:rPr>
            </w:pPr>
          </w:p>
        </w:tc>
        <w:tc>
          <w:tcPr>
            <w:tcW w:w="6450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完成学校安全六个100%要求（专职保安配备率、一键式紧急报警配备率、视频监控系统达标率、校园封闭式管理达标率、城市护学岗设置率、校门口硬质防冲撞装置设置率）。</w:t>
            </w: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校车审批、监管、行驶路线规范。</w:t>
            </w: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（4分）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81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31" w:hRule="atLeast"/>
        </w:trPr>
        <w:tc>
          <w:tcPr>
            <w:tcW w:w="1039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0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定期开展防中毒、防火灾、防溺水、防车祸、防地震、防暴恐等安全教育，开展地震、火灾等应急演练。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严格危化品管理，</w:t>
            </w:r>
            <w:r>
              <w:rPr>
                <w:color w:val="000000"/>
                <w:sz w:val="18"/>
                <w:szCs w:val="18"/>
              </w:rPr>
              <w:t>危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化品</w:t>
            </w:r>
            <w:r>
              <w:rPr>
                <w:color w:val="000000"/>
                <w:sz w:val="18"/>
                <w:szCs w:val="18"/>
              </w:rPr>
              <w:t>储藏室或储藏柜设置双人双锁保管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81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841" w:hRule="atLeast"/>
        </w:trPr>
        <w:tc>
          <w:tcPr>
            <w:tcW w:w="1039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0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食品安全管理机制健全，实施明厨亮灶，食材进货渠道规范，坚持索票索证，建立出入库台账，公示学生食谱，一日三餐规范留样并填写留样记录。落实好教师试尝和领导干部陪餐制度，食堂从业人员定期体检，取得健康证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4分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81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683" w:hRule="atLeast"/>
        </w:trPr>
        <w:tc>
          <w:tcPr>
            <w:tcW w:w="1039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0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10" w:lineRule="exact"/>
              <w:textAlignment w:val="auto"/>
              <w:rPr>
                <w:rFonts w:hint="eastAsia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校（园）卫生管理机制健全，配备校医（保健教师），人员职责明确；师生出入校门不再提供核酸证明，其他外来人员进入校（园）须提供核酸证明；师生出现发热、干咳、乏力、咽痛等症状时，不得带病到校工作或学习；落实“一日三检”、传染病报告、因病缺勤缺课追踪登记制度，建立健康信息台账；按照师生总人数的15%-20%动态储备退烧、止咳、止泻等药品到属地卫生院；按照师生员工人数储备口罩、消毒用品等常用防疫物资，数量不少于2周；根据需要储备充足的抗原检测试剂；按照要求进行消毒，填写消毒记录；强化健康教育管理，坚持多病共防，全面做好校（园）卫生防疫工作。</w:t>
            </w:r>
            <w:r>
              <w:rPr>
                <w:rFonts w:hint="eastAsia"/>
                <w:color w:val="000000"/>
                <w:spacing w:val="-6"/>
                <w:sz w:val="18"/>
                <w:szCs w:val="18"/>
                <w:lang w:eastAsia="zh-CN"/>
              </w:rPr>
              <w:t>（</w:t>
            </w:r>
            <w:r>
              <w:rPr>
                <w:rFonts w:hint="eastAsia"/>
                <w:color w:val="000000"/>
                <w:spacing w:val="-6"/>
                <w:sz w:val="18"/>
                <w:szCs w:val="18"/>
                <w:lang w:val="en-US" w:eastAsia="zh-CN"/>
              </w:rPr>
              <w:t>4分</w:t>
            </w:r>
            <w:r>
              <w:rPr>
                <w:rFonts w:hint="eastAsia"/>
                <w:color w:val="000000"/>
                <w:spacing w:val="-6"/>
                <w:sz w:val="18"/>
                <w:szCs w:val="18"/>
                <w:lang w:eastAsia="zh-CN"/>
              </w:rPr>
              <w:t>）。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81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543" w:hRule="atLeast"/>
        </w:trPr>
        <w:tc>
          <w:tcPr>
            <w:tcW w:w="1039" w:type="dxa"/>
            <w:vMerge w:val="continue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  <w:lang w:val="en"/>
              </w:rPr>
            </w:pPr>
          </w:p>
        </w:tc>
        <w:tc>
          <w:tcPr>
            <w:tcW w:w="6450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/>
                <w:color w:val="000000"/>
                <w:sz w:val="18"/>
                <w:szCs w:val="18"/>
                <w:lang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校园无责任安全事故发生。（</w:t>
            </w:r>
            <w:r>
              <w:rPr>
                <w:rFonts w:hint="eastAsia"/>
                <w:color w:val="000000"/>
                <w:sz w:val="18"/>
                <w:szCs w:val="18"/>
                <w:lang w:val="en-US" w:eastAsia="zh-CN"/>
              </w:rPr>
              <w:t>5分</w:t>
            </w:r>
            <w:r>
              <w:rPr>
                <w:rFonts w:hint="eastAsia"/>
                <w:color w:val="000000"/>
                <w:sz w:val="18"/>
                <w:szCs w:val="18"/>
                <w:lang w:eastAsia="zh-CN"/>
              </w:rPr>
              <w:t>）</w:t>
            </w:r>
          </w:p>
        </w:tc>
        <w:tc>
          <w:tcPr>
            <w:tcW w:w="846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default" w:eastAsia="宋体"/>
                <w:color w:val="000000"/>
                <w:sz w:val="18"/>
                <w:szCs w:val="18"/>
                <w:lang w:val="en-US" w:eastAsia="zh-CN"/>
              </w:rPr>
            </w:pPr>
          </w:p>
        </w:tc>
        <w:tc>
          <w:tcPr>
            <w:tcW w:w="581" w:type="dxa"/>
            <w:gridSpan w:val="2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752" w:hRule="atLeast"/>
        </w:trPr>
        <w:tc>
          <w:tcPr>
            <w:tcW w:w="1039" w:type="dxa"/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hd w:val="clear" w:color="auto" w:fill="auto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240" w:lineRule="exact"/>
              <w:jc w:val="center"/>
              <w:textAlignment w:val="auto"/>
              <w:rPr>
                <w:rFonts w:ascii="Times New Roman" w:hAnsi="Times New Roman" w:eastAsia="仿宋_GB2312" w:cs="宋体"/>
                <w:b w:val="0"/>
                <w:bCs/>
                <w:snapToGrid/>
                <w:color w:val="000000"/>
                <w:kern w:val="2"/>
                <w:sz w:val="21"/>
                <w:szCs w:val="21"/>
                <w:lang w:val="en" w:eastAsia="zh-CN" w:bidi="ar-SA"/>
              </w:rPr>
            </w:pPr>
            <w:r>
              <w:rPr>
                <w:rFonts w:hint="eastAsia" w:ascii="Times New Roman" w:hAnsi="Times New Roman" w:cs="Times New Roman"/>
                <w:color w:val="000000"/>
                <w:sz w:val="18"/>
                <w:szCs w:val="18"/>
                <w:lang w:val="en-US" w:eastAsia="zh-CN"/>
              </w:rPr>
              <w:t>“基本合格”“不合格”事项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rPr>
                <w:rFonts w:hint="eastAsia" w:ascii="Times New Roman" w:hAnsi="Times New Roman" w:eastAsia="仿宋_GB2312"/>
                <w:color w:val="000000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依据《广元市民办教育机构设立禁止和限制目录》《广元市民办教育机构年检办法》第十条，符合情形之一的</w:t>
            </w:r>
          </w:p>
        </w:tc>
        <w:tc>
          <w:tcPr>
            <w:tcW w:w="846" w:type="dxa"/>
            <w:gridSpan w:val="2"/>
            <w:noWrap w:val="0"/>
            <w:vAlign w:val="top"/>
          </w:tcPr>
          <w:p>
            <w:pPr>
              <w:shd w:val="clear" w:color="auto" w:fill="auto"/>
              <w:spacing w:line="300" w:lineRule="exact"/>
              <w:rPr>
                <w:rFonts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1" w:type="dxa"/>
            <w:gridSpan w:val="2"/>
            <w:noWrap w:val="0"/>
            <w:vAlign w:val="top"/>
          </w:tcPr>
          <w:p>
            <w:pPr>
              <w:shd w:val="clear" w:color="auto" w:fill="auto"/>
              <w:spacing w:line="300" w:lineRule="exact"/>
              <w:rPr>
                <w:rFonts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84" w:hRule="atLeast"/>
        </w:trPr>
        <w:tc>
          <w:tcPr>
            <w:tcW w:w="1039" w:type="dxa"/>
            <w:noWrap w:val="0"/>
            <w:vAlign w:val="center"/>
          </w:tcPr>
          <w:p>
            <w:pPr>
              <w:widowControl/>
              <w:shd w:val="clear" w:color="auto" w:fill="auto"/>
              <w:spacing w:line="300" w:lineRule="exact"/>
              <w:jc w:val="center"/>
              <w:rPr>
                <w:rFonts w:hint="eastAsia" w:ascii="Times New Roman" w:hAnsi="Times New Roman" w:eastAsia="宋体" w:cs="Times New Roman"/>
                <w:color w:val="000000"/>
                <w:kern w:val="2"/>
                <w:sz w:val="18"/>
                <w:szCs w:val="18"/>
                <w:lang w:val="en" w:eastAsia="zh-CN" w:bidi="ar-SA"/>
              </w:rPr>
            </w:pPr>
            <w:r>
              <w:rPr>
                <w:rFonts w:hint="eastAsia" w:ascii="Times New Roman" w:hAnsi="Times New Roman" w:eastAsia="宋体" w:cs="Times New Roman"/>
                <w:color w:val="000000"/>
                <w:sz w:val="18"/>
                <w:szCs w:val="18"/>
                <w:lang w:val="en-US" w:eastAsia="zh-CN"/>
              </w:rPr>
              <w:t>总  分</w:t>
            </w:r>
          </w:p>
        </w:tc>
        <w:tc>
          <w:tcPr>
            <w:tcW w:w="6450" w:type="dxa"/>
            <w:noWrap w:val="0"/>
            <w:vAlign w:val="center"/>
          </w:tcPr>
          <w:p>
            <w:pPr>
              <w:shd w:val="clear" w:color="auto" w:fill="auto"/>
              <w:spacing w:line="220" w:lineRule="exact"/>
              <w:rPr>
                <w:rFonts w:hint="eastAsia"/>
                <w:snapToGrid w:val="0"/>
                <w:color w:val="000000"/>
                <w:kern w:val="0"/>
                <w:sz w:val="18"/>
                <w:szCs w:val="18"/>
                <w:lang w:val="en-US" w:eastAsia="zh-CN" w:bidi="ar-SA"/>
              </w:rPr>
            </w:pPr>
          </w:p>
        </w:tc>
        <w:tc>
          <w:tcPr>
            <w:tcW w:w="846" w:type="dxa"/>
            <w:gridSpan w:val="2"/>
            <w:noWrap w:val="0"/>
            <w:vAlign w:val="top"/>
          </w:tcPr>
          <w:p>
            <w:pPr>
              <w:shd w:val="clear" w:color="auto" w:fill="auto"/>
              <w:spacing w:line="300" w:lineRule="exact"/>
              <w:jc w:val="center"/>
              <w:rPr>
                <w:rFonts w:hint="default"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  <w:tc>
          <w:tcPr>
            <w:tcW w:w="581" w:type="dxa"/>
            <w:gridSpan w:val="2"/>
            <w:noWrap w:val="0"/>
            <w:vAlign w:val="top"/>
          </w:tcPr>
          <w:p>
            <w:pPr>
              <w:shd w:val="clear" w:color="auto" w:fill="auto"/>
              <w:spacing w:line="300" w:lineRule="exact"/>
              <w:rPr>
                <w:rFonts w:eastAsia="仿宋"/>
                <w:color w:val="000000"/>
                <w:kern w:val="2"/>
                <w:sz w:val="21"/>
                <w:szCs w:val="21"/>
                <w:lang w:val="en-US" w:eastAsia="zh-CN" w:bidi="ar-SA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32" w:hRule="atLeast"/>
        </w:trPr>
        <w:tc>
          <w:tcPr>
            <w:tcW w:w="1039" w:type="dxa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rFonts w:hint="eastAsia" w:eastAsia="宋体"/>
                <w:color w:val="000000"/>
                <w:sz w:val="18"/>
                <w:szCs w:val="18"/>
                <w:lang w:val="en" w:eastAsia="zh-CN"/>
              </w:rPr>
            </w:pPr>
            <w:r>
              <w:rPr>
                <w:rFonts w:hint="eastAsia"/>
                <w:color w:val="000000"/>
                <w:sz w:val="18"/>
                <w:szCs w:val="18"/>
                <w:lang w:val="en" w:eastAsia="zh-CN"/>
              </w:rPr>
              <w:t>年检结论</w:t>
            </w:r>
          </w:p>
        </w:tc>
        <w:tc>
          <w:tcPr>
            <w:tcW w:w="7877" w:type="dxa"/>
            <w:gridSpan w:val="5"/>
            <w:noWrap w:val="0"/>
            <w:vAlign w:val="center"/>
          </w:tcPr>
          <w:p>
            <w:pPr>
              <w:shd w:val="clear" w:color="auto" w:fill="auto"/>
              <w:spacing w:line="240" w:lineRule="exact"/>
              <w:jc w:val="center"/>
              <w:rPr>
                <w:color w:val="000000"/>
                <w:sz w:val="18"/>
                <w:szCs w:val="18"/>
              </w:rPr>
            </w:pPr>
          </w:p>
        </w:tc>
      </w:tr>
    </w:tbl>
    <w:p>
      <w:pPr>
        <w:shd w:val="clear" w:color="auto" w:fill="auto"/>
        <w:spacing w:line="320" w:lineRule="exact"/>
        <w:rPr>
          <w:rFonts w:hint="eastAsia"/>
          <w:color w:val="000000"/>
          <w:sz w:val="24"/>
          <w:lang w:eastAsia="zh-CN"/>
        </w:rPr>
      </w:pPr>
    </w:p>
    <w:p>
      <w:pPr>
        <w:shd w:val="clear" w:color="auto" w:fill="auto"/>
        <w:spacing w:line="320" w:lineRule="exact"/>
        <w:ind w:firstLine="480" w:firstLineChars="200"/>
        <w:rPr>
          <w:rFonts w:hint="eastAsia"/>
          <w:color w:val="000000"/>
          <w:sz w:val="24"/>
          <w:lang w:eastAsia="zh-CN"/>
        </w:rPr>
      </w:pPr>
      <w:r>
        <w:rPr>
          <w:rFonts w:hint="eastAsia"/>
          <w:color w:val="000000"/>
          <w:sz w:val="24"/>
          <w:lang w:eastAsia="zh-CN"/>
        </w:rPr>
        <w:t>备注：解释权归苍溪县教育和科学技术局。</w:t>
      </w:r>
    </w:p>
    <w:p>
      <w:pPr>
        <w:shd w:val="clear" w:color="auto" w:fill="auto"/>
        <w:spacing w:line="320" w:lineRule="exact"/>
        <w:ind w:firstLine="480" w:firstLineChars="200"/>
        <w:rPr>
          <w:rFonts w:hint="eastAsia"/>
          <w:color w:val="000000"/>
          <w:sz w:val="24"/>
          <w:lang w:eastAsia="zh-CN"/>
        </w:rPr>
      </w:pPr>
    </w:p>
    <w:p>
      <w:pPr>
        <w:shd w:val="clear" w:color="auto" w:fill="auto"/>
        <w:spacing w:line="320" w:lineRule="exact"/>
        <w:ind w:firstLine="480" w:firstLineChars="200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eastAsia="zh-CN"/>
        </w:rPr>
        <w:t>组长（</w:t>
      </w:r>
      <w:r>
        <w:rPr>
          <w:rFonts w:hint="eastAsia"/>
          <w:color w:val="000000"/>
          <w:sz w:val="24"/>
          <w:lang w:val="en-US" w:eastAsia="zh-CN"/>
        </w:rPr>
        <w:t>签字）：                       年检成员（签字）：</w:t>
      </w:r>
    </w:p>
    <w:p>
      <w:pPr>
        <w:shd w:val="clear" w:color="auto" w:fill="auto"/>
        <w:spacing w:line="320" w:lineRule="exact"/>
        <w:ind w:firstLine="480" w:firstLineChars="200"/>
        <w:rPr>
          <w:rFonts w:hint="eastAsia"/>
          <w:color w:val="000000"/>
          <w:sz w:val="24"/>
          <w:lang w:val="en-US" w:eastAsia="zh-CN"/>
        </w:rPr>
      </w:pPr>
    </w:p>
    <w:p>
      <w:pPr>
        <w:shd w:val="clear" w:color="auto" w:fill="auto"/>
        <w:spacing w:line="320" w:lineRule="exact"/>
        <w:ind w:firstLine="480" w:firstLineChars="200"/>
        <w:rPr>
          <w:rFonts w:hint="eastAsia"/>
          <w:color w:val="000000"/>
          <w:sz w:val="24"/>
          <w:lang w:val="en-US" w:eastAsia="zh-CN"/>
        </w:rPr>
      </w:pPr>
      <w:r>
        <w:rPr>
          <w:rFonts w:hint="eastAsia"/>
          <w:color w:val="000000"/>
          <w:sz w:val="24"/>
          <w:lang w:val="en-US" w:eastAsia="zh-CN"/>
        </w:rPr>
        <w:t>举办者（签字 盖公章）：              年检时间：2023年  月  日</w:t>
      </w:r>
    </w:p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黑体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FkNDU4NjlmYzY2ZTlkNzIxMmMxOWVmNGRlOGY3NjgifQ=="/>
  </w:docVars>
  <w:rsids>
    <w:rsidRoot w:val="48DC4627"/>
    <w:rsid w:val="48DC46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nhideWhenUsed="0" w:uiPriority="9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autoRedefine/>
    <w:qFormat/>
    <w:uiPriority w:val="0"/>
    <w:pPr>
      <w:widowControl w:val="0"/>
      <w:spacing w:line="400" w:lineRule="atLeast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paragraph" w:styleId="2">
    <w:name w:val="heading 4"/>
    <w:basedOn w:val="1"/>
    <w:next w:val="1"/>
    <w:qFormat/>
    <w:uiPriority w:val="9"/>
    <w:pPr>
      <w:keepNext/>
      <w:keepLines/>
      <w:spacing w:before="280" w:after="290" w:line="376" w:lineRule="auto"/>
      <w:outlineLvl w:val="3"/>
    </w:pPr>
    <w:rPr>
      <w:rFonts w:ascii="Cambria" w:hAnsi="Cambria" w:eastAsia="宋体" w:cs="Times New Roman"/>
      <w:b/>
      <w:bCs/>
      <w:sz w:val="28"/>
      <w:szCs w:val="28"/>
    </w:rPr>
  </w:style>
  <w:style w:type="character" w:default="1" w:styleId="4">
    <w:name w:val="Default Paragraph Font"/>
    <w:autoRedefine/>
    <w:semiHidden/>
    <w:qFormat/>
    <w:uiPriority w:val="0"/>
  </w:style>
  <w:style w:type="table" w:default="1" w:styleId="3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Office_12.1.0.16250_F1E327BC-269C-435d-A152-05C5408002CA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2024-01-30T08:39:00Z</dcterms:created>
  <dc:creator>谢yl</dc:creator>
  <cp:lastModifiedBy>谢yl</cp:lastModifiedBy>
  <dcterms:modified xsi:type="dcterms:W3CDTF">2024-01-30T08:40:07Z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2052-12.1.0.16250</vt:lpwstr>
  </property>
  <property fmtid="{D5CDD505-2E9C-101B-9397-08002B2CF9AE}" pid="3" name="ICV">
    <vt:lpwstr>4E3971E4C97F451FAEAEC890960AF5E2_11</vt:lpwstr>
  </property>
</Properties>
</file>