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黑体" w:hAnsi="黑体" w:eastAsia="黑体" w:cs="黑体"/>
          <w:i w:val="0"/>
          <w:caps w:val="0"/>
          <w:color w:val="3D3D3D"/>
          <w:spacing w:val="0"/>
          <w:sz w:val="32"/>
          <w:szCs w:val="32"/>
          <w:shd w:val="clear" w:fill="FFFFFF"/>
          <w:lang w:val="en-US" w:eastAsia="zh-CN"/>
        </w:rPr>
      </w:pPr>
      <w:r>
        <w:rPr>
          <w:rFonts w:hint="eastAsia" w:ascii="黑体" w:hAnsi="黑体" w:eastAsia="黑体" w:cs="黑体"/>
          <w:i w:val="0"/>
          <w:caps w:val="0"/>
          <w:color w:val="3D3D3D"/>
          <w:spacing w:val="0"/>
          <w:sz w:val="32"/>
          <w:szCs w:val="32"/>
          <w:shd w:val="clear" w:fill="FFFFFF"/>
          <w:lang w:val="en-US" w:eastAsia="zh-CN"/>
        </w:rPr>
        <w:t>附件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t>银行贷款额度、利率、期限、联系方式</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i w:val="0"/>
          <w:caps w:val="0"/>
          <w:color w:val="auto"/>
          <w:spacing w:val="0"/>
          <w:sz w:val="32"/>
          <w:szCs w:val="32"/>
          <w:shd w:val="clear" w:fill="FFFFFF"/>
          <w:lang w:eastAsia="zh-CN"/>
        </w:rPr>
      </w:pPr>
      <w:r>
        <w:rPr>
          <w:rFonts w:hint="eastAsia" w:ascii="黑体" w:hAnsi="黑体" w:eastAsia="黑体" w:cs="黑体"/>
          <w:i w:val="0"/>
          <w:caps w:val="0"/>
          <w:color w:val="auto"/>
          <w:spacing w:val="0"/>
          <w:sz w:val="32"/>
          <w:szCs w:val="32"/>
          <w:shd w:val="clear" w:fill="FFFFFF"/>
          <w:lang w:eastAsia="zh-CN"/>
        </w:rPr>
        <w:t>一、贷款额度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“政采贷”贷款额度根据政府采购合同金额及客户实际需求合理确定。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（一）中国银行广元分行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1．如客户最近2年（或24个月）内有正常履约记录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信用总量=客户持有采购合同金额×90%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信用总量不超过500万元的，在第一还款来源覆盖充分的前提下可提供信用贷款。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2．如客户最近2年（或24个月）内无正常履约记录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信用总量=客户持有采购合同金额×70%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信用总量不超过300万元的，在第一还款来源覆盖充分的前提下可提供信用贷款。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（二）建设银行广元分行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需参考政府采购合同的金额、采购人区域等情况确定，一般为（合同金额-预付款-质保金）*70%。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（三）农业银行广元分行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需参考供应商近两年政府采购中标信息，一般为供应商近2年政府采购中标信息（货物类）年均金额×70%，单户贷款额度不超过500万元。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（四）工商银行广元分行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需参考政府采购合同金额，最高融资额度不超过合同金额（不含质保金或其他留存资金）*60%，单户不超过1000万元。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（五）邮政储蓄银行广元分行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1.信用模式：单户最高300万元。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2.质押模式：单户最高1000万元。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(六)广元市农村商业银行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最高不超过采购合同金额的80%。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（七）广元市贵商村镇银行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针对一个政府采购合同，单户授信额度原则上不超过500万元，原则上不高于政府采购合同金额的70%，同时授信额度+预付款+质量保证金等≤政府采购合同标的金额。按照孰低原则确定最高授信额度。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（八）绵阳市商业银行广元分行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贷款额度不超过政府采购合同总金额的70%，且单户不超过500万元。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i w:val="0"/>
          <w:caps w:val="0"/>
          <w:color w:val="auto"/>
          <w:spacing w:val="0"/>
          <w:sz w:val="32"/>
          <w:szCs w:val="32"/>
          <w:shd w:val="clear" w:fill="FFFFFF"/>
          <w:lang w:eastAsia="zh-CN"/>
        </w:rPr>
      </w:pPr>
      <w:r>
        <w:rPr>
          <w:rFonts w:hint="eastAsia" w:ascii="黑体" w:hAnsi="黑体" w:eastAsia="黑体" w:cs="黑体"/>
          <w:i w:val="0"/>
          <w:caps w:val="0"/>
          <w:color w:val="auto"/>
          <w:spacing w:val="0"/>
          <w:sz w:val="32"/>
          <w:szCs w:val="32"/>
          <w:shd w:val="clear" w:fill="FFFFFF"/>
          <w:lang w:eastAsia="zh-CN"/>
        </w:rPr>
        <w:t>二、贷款利率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贷款市场报价利率（LPR）是由人民银行授权全国银行间同业拆借中心结算并公布的基础性的贷款参考利率，2023年7月的货款市场报价利率（LPR）一年期利率为3.55%，五年以上为4.2%。</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（一）中国银行广元分行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根据同业市场LPR变动，最终报价一般不超过4.0%。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（二）建设银行广元分行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在一年期贷款市场报价利率上加减点，一般不超过3.75%。</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（三）农业银行广元分行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贷款利率一般为同期LPR利率。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（四）工商银行广元分行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融资利率参考最近LPR合理加点确定，一般不超过3.65%。</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（五）邮政储蓄银行广元分行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在一年期贷款市场报价利率上加减点，最低至LPR。</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（六）广元市农村商业银行。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融资利率一般在3.55%至6%之间，根据合作情况逐一确定。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（七）广元市贵商村镇银行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一年期以内（含）不低于借款合同签订日已公布最新的一年期LPR加215BP；一年期以上不低于借款合同签订日公布最新的五年期LPR加150BP。</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（八）绵阳市商业银行广元分行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按照收益覆盖成本和风险的原则，根据借款人在我行使用产品和结算情况，坚持普惠原则，对贷款利率实现差别化管理。但执行年化利率原则上不低于同期LPR利率水准，具体利率参照按照我行普惠贷款利率最新执行标准执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i w:val="0"/>
          <w:caps w:val="0"/>
          <w:color w:val="auto"/>
          <w:spacing w:val="0"/>
          <w:sz w:val="32"/>
          <w:szCs w:val="32"/>
          <w:shd w:val="clear" w:fill="FFFFFF"/>
          <w:lang w:eastAsia="zh-CN"/>
        </w:rPr>
      </w:pPr>
      <w:r>
        <w:rPr>
          <w:rFonts w:hint="eastAsia" w:ascii="黑体" w:hAnsi="黑体" w:eastAsia="黑体" w:cs="黑体"/>
          <w:i w:val="0"/>
          <w:caps w:val="0"/>
          <w:color w:val="auto"/>
          <w:spacing w:val="0"/>
          <w:sz w:val="32"/>
          <w:szCs w:val="32"/>
          <w:shd w:val="clear" w:fill="FFFFFF"/>
          <w:lang w:eastAsia="zh-CN"/>
        </w:rPr>
        <w:t>三、贷款期限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“政采贷”贷款期限一般根据政府采购合同为基础，合理确定贷款期限。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（一）中国银行广元分行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根据政府采购合同约定的企业履约交付和政府履约付款期限，结合企业在履约过程中的实际资金需求情况设定。期限一般不超过1年；在预算保障的前提下，期限不超过3年。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（二）建设银行广元分行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不超过合同期限，最长1年。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（三）农业银行广元分行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最终到期日不晚于政府采购项目合同项下应收账款全额（不含质量保证金）到账日期（节假日顺延）次日，最长为</w:t>
      </w:r>
      <w:r>
        <w:rPr>
          <w:rFonts w:hint="eastAsia" w:ascii="仿宋_GB2312" w:hAnsi="宋体" w:eastAsia="仿宋_GB2312" w:cs="仿宋_GB2312"/>
          <w:i w:val="0"/>
          <w:caps w:val="0"/>
          <w:color w:val="auto"/>
          <w:spacing w:val="0"/>
          <w:sz w:val="32"/>
          <w:szCs w:val="32"/>
          <w:shd w:val="clear" w:fill="FFFFFF"/>
          <w:lang w:val="en-US" w:eastAsia="zh-CN"/>
        </w:rPr>
        <w:t>1</w:t>
      </w:r>
      <w:r>
        <w:rPr>
          <w:rFonts w:hint="eastAsia" w:ascii="仿宋_GB2312" w:hAnsi="宋体" w:eastAsia="仿宋_GB2312" w:cs="仿宋_GB2312"/>
          <w:i w:val="0"/>
          <w:caps w:val="0"/>
          <w:color w:val="auto"/>
          <w:spacing w:val="0"/>
          <w:sz w:val="32"/>
          <w:szCs w:val="32"/>
          <w:shd w:val="clear" w:fill="FFFFFF"/>
          <w:lang w:eastAsia="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（四）工商银行广元分行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不超过合同期限，最长1年。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（五）邮政储蓄银行广元分行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单笔最长不超过24个月。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（六）广元市农村商业银行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单笔最长不超过24个月。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（七）广元市贵商村镇银行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与采购合同付款期限加约定宽限期（如有）一致，不超过2年。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（八）绵阳市商业银行广元分行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贷款期限不超过政府采购合同约定合同付款日后2个月，且最长不超过1年。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i w:val="0"/>
          <w:caps w:val="0"/>
          <w:color w:val="auto"/>
          <w:spacing w:val="0"/>
          <w:sz w:val="32"/>
          <w:szCs w:val="32"/>
          <w:shd w:val="clear" w:fill="FFFFFF"/>
          <w:lang w:val="en-US" w:eastAsia="zh-CN"/>
        </w:rPr>
      </w:pPr>
      <w:r>
        <w:rPr>
          <w:rFonts w:hint="eastAsia" w:ascii="黑体" w:hAnsi="黑体" w:eastAsia="黑体" w:cs="黑体"/>
          <w:i w:val="0"/>
          <w:caps w:val="0"/>
          <w:color w:val="auto"/>
          <w:spacing w:val="0"/>
          <w:sz w:val="32"/>
          <w:szCs w:val="32"/>
          <w:shd w:val="clear" w:fill="FFFFFF"/>
          <w:lang w:val="en-US" w:eastAsia="zh-CN"/>
        </w:rPr>
        <w:t>四、广元市办理地址和联系方式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i w:val="0"/>
          <w:caps w:val="0"/>
          <w:color w:val="auto"/>
          <w:spacing w:val="0"/>
          <w:sz w:val="32"/>
          <w:szCs w:val="32"/>
          <w:shd w:val="clear" w:fill="FFFFFF"/>
          <w:lang w:val="en-US" w:eastAsia="zh-CN"/>
        </w:rPr>
      </w:pPr>
      <w:r>
        <w:rPr>
          <w:rFonts w:hint="default" w:ascii="楷体_GB2312" w:hAnsi="楷体_GB2312" w:eastAsia="楷体_GB2312" w:cs="楷体_GB2312"/>
          <w:i w:val="0"/>
          <w:caps w:val="0"/>
          <w:color w:val="auto"/>
          <w:spacing w:val="0"/>
          <w:sz w:val="32"/>
          <w:szCs w:val="32"/>
          <w:shd w:val="clear" w:fill="FFFFFF"/>
          <w:lang w:val="en-US" w:eastAsia="zh-CN"/>
        </w:rPr>
        <w:t>（一）建设银行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地址：广元市利州区南河北京路565号建行大厦2楼，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公司业务部 0839-3562331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i w:val="0"/>
          <w:caps w:val="0"/>
          <w:color w:val="auto"/>
          <w:spacing w:val="0"/>
          <w:sz w:val="32"/>
          <w:szCs w:val="32"/>
          <w:shd w:val="clear" w:fill="FFFFFF"/>
          <w:lang w:val="en-US" w:eastAsia="zh-CN"/>
        </w:rPr>
      </w:pPr>
      <w:r>
        <w:rPr>
          <w:rFonts w:hint="default" w:ascii="楷体_GB2312" w:hAnsi="楷体_GB2312" w:eastAsia="楷体_GB2312" w:cs="楷体_GB2312"/>
          <w:i w:val="0"/>
          <w:caps w:val="0"/>
          <w:color w:val="auto"/>
          <w:spacing w:val="0"/>
          <w:sz w:val="32"/>
          <w:szCs w:val="32"/>
          <w:shd w:val="clear" w:fill="FFFFFF"/>
          <w:lang w:val="en-US" w:eastAsia="zh-CN"/>
        </w:rPr>
        <w:t>（二）中国银行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地址：广元市利州区利州东路501号中国银行2楼，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800" w:firstLineChars="25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eastAsia" w:ascii="仿宋_GB2312" w:hAnsi="宋体" w:eastAsia="仿宋_GB2312" w:cs="仿宋_GB2312"/>
          <w:i w:val="0"/>
          <w:caps w:val="0"/>
          <w:color w:val="auto"/>
          <w:spacing w:val="0"/>
          <w:sz w:val="32"/>
          <w:szCs w:val="32"/>
          <w:shd w:val="clear" w:fill="FFFFFF"/>
          <w:lang w:val="en-US" w:eastAsia="zh-CN"/>
        </w:rPr>
        <w:t xml:space="preserve">   </w:t>
      </w:r>
      <w:r>
        <w:rPr>
          <w:rFonts w:hint="default" w:ascii="仿宋_GB2312" w:hAnsi="宋体" w:eastAsia="仿宋_GB2312" w:cs="仿宋_GB2312"/>
          <w:i w:val="0"/>
          <w:caps w:val="0"/>
          <w:color w:val="auto"/>
          <w:spacing w:val="0"/>
          <w:sz w:val="32"/>
          <w:szCs w:val="32"/>
          <w:shd w:val="clear" w:fill="FFFFFF"/>
          <w:lang w:val="en-US" w:eastAsia="zh-CN"/>
        </w:rPr>
        <w:t xml:space="preserve">  普惠金融事业部 0839-3328038</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i w:val="0"/>
          <w:caps w:val="0"/>
          <w:color w:val="auto"/>
          <w:spacing w:val="0"/>
          <w:sz w:val="32"/>
          <w:szCs w:val="32"/>
          <w:shd w:val="clear" w:fill="FFFFFF"/>
          <w:lang w:val="en-US" w:eastAsia="zh-CN"/>
        </w:rPr>
      </w:pPr>
      <w:r>
        <w:rPr>
          <w:rFonts w:hint="default" w:ascii="楷体_GB2312" w:hAnsi="楷体_GB2312" w:eastAsia="楷体_GB2312" w:cs="楷体_GB2312"/>
          <w:i w:val="0"/>
          <w:caps w:val="0"/>
          <w:color w:val="auto"/>
          <w:spacing w:val="0"/>
          <w:sz w:val="32"/>
          <w:szCs w:val="32"/>
          <w:shd w:val="clear" w:fill="FFFFFF"/>
          <w:lang w:val="en-US" w:eastAsia="zh-CN"/>
        </w:rPr>
        <w:t>（三）工商银行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地址：广元市利州区利州东路一段584号，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公司金融业务部（普惠金融事业部）0839-3265755</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i w:val="0"/>
          <w:caps w:val="0"/>
          <w:color w:val="auto"/>
          <w:spacing w:val="0"/>
          <w:sz w:val="32"/>
          <w:szCs w:val="32"/>
          <w:shd w:val="clear" w:fill="FFFFFF"/>
          <w:lang w:val="en-US" w:eastAsia="zh-CN"/>
        </w:rPr>
      </w:pPr>
      <w:r>
        <w:rPr>
          <w:rFonts w:hint="default" w:ascii="楷体_GB2312" w:hAnsi="楷体_GB2312" w:eastAsia="楷体_GB2312" w:cs="楷体_GB2312"/>
          <w:i w:val="0"/>
          <w:caps w:val="0"/>
          <w:color w:val="auto"/>
          <w:spacing w:val="0"/>
          <w:sz w:val="32"/>
          <w:szCs w:val="32"/>
          <w:shd w:val="clear" w:fill="FFFFFF"/>
          <w:lang w:val="en-US" w:eastAsia="zh-CN"/>
        </w:rPr>
        <w:t>（四）农业银行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地址：广元市利州区南河北京路东段116号，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 xml:space="preserve">公司业务部 0839-3216714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i w:val="0"/>
          <w:caps w:val="0"/>
          <w:color w:val="auto"/>
          <w:spacing w:val="0"/>
          <w:sz w:val="32"/>
          <w:szCs w:val="32"/>
          <w:shd w:val="clear" w:fill="FFFFFF"/>
          <w:lang w:val="en-US" w:eastAsia="zh-CN"/>
        </w:rPr>
      </w:pPr>
      <w:r>
        <w:rPr>
          <w:rFonts w:hint="default" w:ascii="楷体_GB2312" w:hAnsi="楷体_GB2312" w:eastAsia="楷体_GB2312" w:cs="楷体_GB2312"/>
          <w:i w:val="0"/>
          <w:caps w:val="0"/>
          <w:color w:val="auto"/>
          <w:spacing w:val="0"/>
          <w:sz w:val="32"/>
          <w:szCs w:val="32"/>
          <w:shd w:val="clear" w:fill="FFFFFF"/>
          <w:lang w:val="en-US" w:eastAsia="zh-CN"/>
        </w:rPr>
        <w:t>（五）农商银行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地址：利州区利州东路二段383号四川农信大厦一楼，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公司部 0839-3953706</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i w:val="0"/>
          <w:caps w:val="0"/>
          <w:color w:val="auto"/>
          <w:spacing w:val="0"/>
          <w:sz w:val="32"/>
          <w:szCs w:val="32"/>
          <w:shd w:val="clear" w:fill="FFFFFF"/>
          <w:lang w:val="en-US" w:eastAsia="zh-CN"/>
        </w:rPr>
      </w:pPr>
      <w:r>
        <w:rPr>
          <w:rFonts w:hint="default" w:ascii="楷体_GB2312" w:hAnsi="楷体_GB2312" w:eastAsia="楷体_GB2312" w:cs="楷体_GB2312"/>
          <w:i w:val="0"/>
          <w:caps w:val="0"/>
          <w:color w:val="auto"/>
          <w:spacing w:val="0"/>
          <w:sz w:val="32"/>
          <w:szCs w:val="32"/>
          <w:shd w:val="clear" w:fill="FFFFFF"/>
          <w:lang w:val="en-US" w:eastAsia="zh-CN"/>
        </w:rPr>
        <w:t>（六）贵商银行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地址：广元市利州区万源新区胤国路南贵商大厦一楼，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营业部 15984096077</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i w:val="0"/>
          <w:caps w:val="0"/>
          <w:color w:val="auto"/>
          <w:spacing w:val="0"/>
          <w:sz w:val="32"/>
          <w:szCs w:val="32"/>
          <w:shd w:val="clear" w:fill="FFFFFF"/>
          <w:lang w:val="en-US" w:eastAsia="zh-CN"/>
        </w:rPr>
      </w:pPr>
      <w:r>
        <w:rPr>
          <w:rFonts w:hint="default" w:ascii="楷体_GB2312" w:hAnsi="楷体_GB2312" w:eastAsia="楷体_GB2312" w:cs="楷体_GB2312"/>
          <w:i w:val="0"/>
          <w:caps w:val="0"/>
          <w:color w:val="auto"/>
          <w:spacing w:val="0"/>
          <w:sz w:val="32"/>
          <w:szCs w:val="32"/>
          <w:shd w:val="clear" w:fill="FFFFFF"/>
          <w:lang w:val="en-US" w:eastAsia="zh-CN"/>
        </w:rPr>
        <w:t>（七）邮储银行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地址：四川省广元市利州区东坝街道苴国路783号，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普惠金融事业部 0839-3275721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（八）绵商银行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地址：广元市万源新区万达中心7楼，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综合业务部  0839-6197255</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i w:val="0"/>
          <w:caps w:val="0"/>
          <w:color w:val="auto"/>
          <w:spacing w:val="0"/>
          <w:sz w:val="32"/>
          <w:szCs w:val="32"/>
          <w:shd w:val="clear" w:fill="FFFFFF"/>
          <w:lang w:val="en-US" w:eastAsia="zh-CN"/>
        </w:rPr>
      </w:pPr>
      <w:r>
        <w:rPr>
          <w:rFonts w:hint="eastAsia" w:ascii="黑体" w:hAnsi="黑体" w:eastAsia="黑体" w:cs="黑体"/>
          <w:i w:val="0"/>
          <w:caps w:val="0"/>
          <w:color w:val="auto"/>
          <w:spacing w:val="0"/>
          <w:sz w:val="32"/>
          <w:szCs w:val="32"/>
          <w:shd w:val="clear" w:fill="FFFFFF"/>
          <w:lang w:val="en-US" w:eastAsia="zh-CN"/>
        </w:rPr>
        <w:t>五、苍溪县办理联系方式</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中国建设银行苍溪支行综合部：0839-5229059</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中国农业银行苍溪支行综合部：0839-3216568</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中国邮政储蓄银行苍溪县支行综合部：0839-5283397</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中国工商银行苍溪支行综合管理部：0839-5231627</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中国银行苍溪支行综合部：0839-5229656</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贵商银行苍溪支行办公室：0839-6091728</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绵商银行苍溪支行综合部：0839-5228567</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宋体" w:eastAsia="仿宋_GB2312" w:cs="仿宋_GB2312"/>
          <w:i w:val="0"/>
          <w:caps w:val="0"/>
          <w:color w:val="3D3D3D"/>
          <w:spacing w:val="0"/>
          <w:sz w:val="32"/>
          <w:szCs w:val="32"/>
          <w:shd w:val="clear" w:fill="FFFFFF"/>
          <w:lang w:val="en-US" w:eastAsia="zh-CN"/>
        </w:rPr>
      </w:pPr>
    </w:p>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yZjZjMTRlNTgzOTU5ZjllM2M0NWIyM2FhNjUzOTIifQ=="/>
  </w:docVars>
  <w:rsids>
    <w:rsidRoot w:val="31F60758"/>
    <w:rsid w:val="07217C4A"/>
    <w:rsid w:val="31F60758"/>
    <w:rsid w:val="4B462D4C"/>
    <w:rsid w:val="6F500766"/>
    <w:rsid w:val="70D25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1865</Words>
  <Characters>2135</Characters>
  <Lines>0</Lines>
  <Paragraphs>0</Paragraphs>
  <TotalTime>2</TotalTime>
  <ScaleCrop>false</ScaleCrop>
  <LinksUpToDate>false</LinksUpToDate>
  <CharactersWithSpaces>2150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2023-08-07T09:29:00Z</dcterms:created>
  <dc:creator>Hfy 非儿</dc:creator>
  <cp:lastModifiedBy>九红</cp:lastModifiedBy>
  <cp:lastPrinted>2023-08-28T01:16:00Z</cp:lastPrinted>
  <dcterms:modified xsi:type="dcterms:W3CDTF">2023-08-28T01:19:12Z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833E17440607403781B313874EB65009_13</vt:lpwstr>
  </property>
</Properties>
</file>