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2023年度拟认定和取消县级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就业见习基地名单</w:t>
      </w:r>
    </w:p>
    <w:p>
      <w:pPr>
        <w:spacing w:line="50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拟新认定名单</w:t>
      </w:r>
    </w:p>
    <w:p>
      <w:pPr>
        <w:spacing w:line="50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苍溪县蓝天幼儿园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二、考核合格拟继续认定名单</w:t>
      </w:r>
    </w:p>
    <w:p>
      <w:pPr>
        <w:spacing w:line="500" w:lineRule="exact"/>
        <w:ind w:firstLine="1280" w:firstLineChars="4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1.苍溪县北门幼儿园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2.苍溪县苹果幼儿园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3.苍溪县汉硕幼儿园有限责任公司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4.苍溪县奥丁幼儿园有限责任公司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5.苍溪县聚能教育培训学校有限责任公司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6.苍溪康复医院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7.四川福昌养老服务有限公司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8.苍溪县融媒体中心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9.四川省车之新汽车服务有限公司</w:t>
      </w:r>
    </w:p>
    <w:p>
      <w:pPr>
        <w:spacing w:line="500" w:lineRule="exact"/>
        <w:ind w:firstLine="1280" w:firstLineChars="4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10.广元舒之恒鞋业有限公司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三、考核不合格拟取消认定名单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1.苍溪县陵江小学校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2.苍溪县太阳幼儿园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3.苍溪县陵江镇汇丰幼儿园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4.四川广运集团苍溪有限公司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5.苍溪县泽天装饰有限公司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6.苍溪县秀艺毯业有限公司</w:t>
      </w:r>
    </w:p>
    <w:p>
      <w:pPr>
        <w:spacing w:line="500" w:lineRule="exact"/>
        <w:ind w:firstLine="1280" w:firstLineChars="4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7.苍溪县腾达广告传媒有限公司</w:t>
      </w:r>
    </w:p>
    <w:p>
      <w:pPr>
        <w:spacing w:line="500" w:lineRule="exact"/>
        <w:ind w:firstLine="1280" w:firstLineChars="400"/>
      </w:pPr>
      <w:r>
        <w:rPr>
          <w:rFonts w:hint="eastAsia" w:ascii="FangSong_GB2312" w:hAnsi="FangSong_GB2312" w:eastAsia="FangSong_GB2312" w:cs="FangSong_GB2312"/>
          <w:sz w:val="32"/>
          <w:szCs w:val="32"/>
        </w:rPr>
        <w:t>8.苍溪县兴龙木业家具厂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6C1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2023-11-02T00:45:50Z</dcterms:created>
  <dc:creator>111</dc:creator>
  <cp:lastModifiedBy>111</cp:lastModifiedBy>
  <dcterms:modified xsi:type="dcterms:W3CDTF">2023-11-02T00:46:27Z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2E8EDE43DF334DEA93FE34576E501CD3_12</vt:lpwstr>
  </property>
</Properties>
</file>