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50"/>
          <w:tab w:val="left" w:pos="4875"/>
        </w:tabs>
        <w:spacing w:line="576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tabs>
          <w:tab w:val="left" w:pos="1550"/>
          <w:tab w:val="left" w:pos="4875"/>
        </w:tabs>
        <w:spacing w:before="156" w:beforeLines="50" w:after="156" w:afterLines="50"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苍溪县城区基准地价及地价定义</w:t>
      </w:r>
    </w:p>
    <w:p>
      <w:pPr>
        <w:pStyle w:val="2"/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一、苍溪县城区基准地价结果一览表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586"/>
        <w:gridCol w:w="1294"/>
        <w:gridCol w:w="1294"/>
        <w:gridCol w:w="1295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8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spacing w:line="4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级别</w:t>
            </w:r>
          </w:p>
          <w:p>
            <w:pPr>
              <w:pStyle w:val="2"/>
              <w:snapToGrid w:val="0"/>
              <w:spacing w:line="3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用途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Ⅰ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Ⅱ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Ⅲ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Ⅳ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商服</w:t>
            </w:r>
          </w:p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用地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元/平方米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2527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1861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1156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802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万元/亩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168.47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124.07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77.07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53.47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住宅</w:t>
            </w:r>
          </w:p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用地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元/平方米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1782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1365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1046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718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万元/亩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118.80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91.00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69.73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47.87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工业</w:t>
            </w:r>
          </w:p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用地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元/平方米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289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230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171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138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万元/亩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19.27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15.33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11.40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9.20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公共管理与公共服务用地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元/平方米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1015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743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531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417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万元/亩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67.67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49.53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35.4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27.8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2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/</w:t>
            </w:r>
          </w:p>
        </w:tc>
      </w:tr>
    </w:tbl>
    <w:p>
      <w:pPr>
        <w:pStyle w:val="2"/>
        <w:snapToGrid w:val="0"/>
        <w:spacing w:line="5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二、基准地价定义</w:t>
      </w:r>
    </w:p>
    <w:p>
      <w:pPr>
        <w:tabs>
          <w:tab w:val="left" w:pos="1550"/>
          <w:tab w:val="left" w:pos="4875"/>
        </w:tabs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估价日期：2020年1月1日。</w:t>
      </w:r>
    </w:p>
    <w:p>
      <w:pPr>
        <w:tabs>
          <w:tab w:val="left" w:pos="1550"/>
          <w:tab w:val="left" w:pos="4875"/>
        </w:tabs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土地使用年限：40年（商服用地）、70年（住宅用地）、50年（工业用地、公共管理与公共服务用地）。</w:t>
      </w:r>
    </w:p>
    <w:p>
      <w:pPr>
        <w:tabs>
          <w:tab w:val="left" w:pos="1550"/>
          <w:tab w:val="left" w:pos="4875"/>
        </w:tabs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容积率：2.0（商服用地）、2.5（住宅用地）、1.0（工业用地）、1.5（公共管理与公共服务用地）。</w:t>
      </w:r>
    </w:p>
    <w:p>
      <w:pPr>
        <w:tabs>
          <w:tab w:val="left" w:pos="1550"/>
          <w:tab w:val="left" w:pos="4875"/>
        </w:tabs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土地开发程度：宗地外“六通”（通上水、通下水、通电、通讯、通气、通路），宗地内“场平”（场地平整）。</w:t>
      </w:r>
    </w:p>
    <w:p>
      <w:pPr>
        <w:tabs>
          <w:tab w:val="left" w:pos="1550"/>
          <w:tab w:val="left" w:pos="4875"/>
        </w:tabs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土地权利状况：出让土地使用权，无他项权利限制。</w:t>
      </w:r>
    </w:p>
    <w:p>
      <w:pPr>
        <w:tabs>
          <w:tab w:val="left" w:pos="1550"/>
          <w:tab w:val="left" w:pos="4875"/>
        </w:tabs>
        <w:spacing w:line="520" w:lineRule="exact"/>
        <w:ind w:firstLine="596" w:firstLineChars="200"/>
        <w:jc w:val="left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备注：工业限制区基准地价的价格参照Ⅰ级工业用地的价格。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0B6D"/>
    <w:rsid w:val="09B5360C"/>
    <w:rsid w:val="25E13364"/>
    <w:rsid w:val="500E1415"/>
    <w:rsid w:val="7B89626E"/>
    <w:rsid w:val="7FD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00" w:lineRule="atLeast"/>
    </w:pPr>
    <w:rPr>
      <w:rFonts w:ascii="宋体" w:hAnsi="Courier New" w:eastAsia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2019-09-24T07:23:00Z</dcterms:created>
  <dc:creator>lenovo</dc:creator>
  <cp:lastModifiedBy>创造下一个结局</cp:lastModifiedBy>
  <dcterms:modified xsi:type="dcterms:W3CDTF">2020-12-29T03:37:04Z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