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600" w:lineRule="exact"/>
        <w:jc w:val="center"/>
        <w:rPr>
          <w:rFonts w:ascii="文鼎大标宋简" w:hAnsi="黑体" w:eastAsia="文鼎大标宋简" w:cs="FZLTCHK--GBK1-0"/>
          <w:kern w:val="0"/>
          <w:sz w:val="44"/>
          <w:szCs w:val="44"/>
        </w:rPr>
      </w:pPr>
      <w:r>
        <w:rPr>
          <w:rFonts w:hint="eastAsia" w:ascii="文鼎大标宋简" w:eastAsia="文鼎大标宋简"/>
          <w:sz w:val="44"/>
          <w:szCs w:val="44"/>
        </w:rPr>
        <w:t>苍溪县亭子镇小学校</w:t>
      </w:r>
      <w:r>
        <w:rPr>
          <w:rFonts w:hint="eastAsia" w:ascii="文鼎大标宋简" w:eastAsia="文鼎大标宋简"/>
          <w:sz w:val="44"/>
          <w:szCs w:val="44"/>
        </w:rPr>
        <w:br w:type="textWrapping"/>
      </w:r>
      <w:r>
        <w:rPr>
          <w:rFonts w:hint="eastAsia" w:ascii="文鼎大标宋简" w:hAnsi="黑体" w:eastAsia="文鼎大标宋简" w:cs="FZLTCHK--GBK1-0"/>
          <w:kern w:val="0"/>
          <w:sz w:val="44"/>
          <w:szCs w:val="44"/>
        </w:rPr>
        <w:t>2020年部门预算编制说明</w:t>
      </w:r>
    </w:p>
    <w:p>
      <w:pPr>
        <w:spacing w:line="576" w:lineRule="exact"/>
        <w:ind w:firstLine="640" w:firstLineChars="200"/>
        <w:rPr>
          <w:rFonts w:ascii="黑体" w:hAnsi="黑体" w:eastAsia="黑体" w:cs="FZSSK--GBK1-0"/>
          <w:kern w:val="0"/>
          <w:sz w:val="32"/>
          <w:szCs w:val="32"/>
        </w:rPr>
      </w:pPr>
      <w:r>
        <w:rPr>
          <w:rFonts w:hint="eastAsia" w:ascii="黑体" w:hAnsi="黑体" w:eastAsia="黑体" w:cs="FZSSK--GBK1-0"/>
          <w:kern w:val="0"/>
          <w:sz w:val="32"/>
          <w:szCs w:val="32"/>
        </w:rPr>
        <w:t>一、基本职能及主要工作</w:t>
      </w:r>
    </w:p>
    <w:p>
      <w:pPr>
        <w:spacing w:line="576" w:lineRule="exact"/>
        <w:ind w:firstLine="640" w:firstLineChars="200"/>
        <w:rPr>
          <w:rFonts w:ascii="楷体_GB2312" w:hAnsi="黑体" w:eastAsia="楷体_GB2312" w:cs="FZSSK--GBK1-0"/>
          <w:kern w:val="0"/>
          <w:sz w:val="32"/>
          <w:szCs w:val="32"/>
        </w:rPr>
      </w:pPr>
      <w:r>
        <w:rPr>
          <w:rFonts w:hint="eastAsia" w:ascii="楷体_GB2312" w:hAnsi="黑体" w:eastAsia="楷体_GB2312" w:cs="FZSSK--GBK1-0"/>
          <w:kern w:val="0"/>
          <w:sz w:val="32"/>
          <w:szCs w:val="32"/>
        </w:rPr>
        <w:t>（一）职能简介</w:t>
      </w:r>
    </w:p>
    <w:p>
      <w:pPr>
        <w:spacing w:line="576" w:lineRule="exact"/>
        <w:ind w:firstLine="640" w:firstLineChars="200"/>
        <w:rPr>
          <w:rFonts w:ascii="楷体_GB2312" w:hAnsi="黑体" w:eastAsia="楷体_GB2312" w:cs="FZSSK--GBK1-0"/>
          <w:kern w:val="0"/>
          <w:sz w:val="32"/>
          <w:szCs w:val="32"/>
        </w:rPr>
      </w:pPr>
      <w:r>
        <w:rPr>
          <w:rFonts w:hint="eastAsia" w:ascii="楷体_GB2312" w:hAnsi="黑体" w:eastAsia="楷体_GB2312" w:cs="FZSSK--GBK1-0"/>
          <w:kern w:val="0"/>
          <w:sz w:val="32"/>
          <w:szCs w:val="32"/>
        </w:rPr>
        <w:t xml:space="preserve">1.宣传贯彻执行党和国家的教育方针、政策和法律、法规，坚持依法治教、依法治学。 </w:t>
      </w:r>
    </w:p>
    <w:p>
      <w:pPr>
        <w:spacing w:line="576" w:lineRule="exact"/>
        <w:ind w:firstLine="640" w:firstLineChars="200"/>
        <w:rPr>
          <w:rFonts w:ascii="楷体_GB2312" w:hAnsi="黑体" w:eastAsia="楷体_GB2312" w:cs="FZSSK--GBK1-0"/>
          <w:kern w:val="0"/>
          <w:sz w:val="32"/>
          <w:szCs w:val="32"/>
        </w:rPr>
      </w:pPr>
      <w:r>
        <w:rPr>
          <w:rFonts w:hint="eastAsia" w:ascii="楷体_GB2312" w:hAnsi="黑体" w:eastAsia="楷体_GB2312" w:cs="FZSSK--GBK1-0"/>
          <w:kern w:val="0"/>
          <w:sz w:val="32"/>
          <w:szCs w:val="32"/>
        </w:rPr>
        <w:t xml:space="preserve">2.承担组织实施县委、县政府和上级主管部门制定的教育事业发展规划，构建现代学校管理制度，强化学校安全、后勤、教研、基建和财务管理，规范办学行为，提高管理绩效和教育教学质量。 </w:t>
      </w:r>
    </w:p>
    <w:p>
      <w:pPr>
        <w:spacing w:line="576" w:lineRule="exact"/>
        <w:ind w:firstLine="640" w:firstLineChars="200"/>
        <w:rPr>
          <w:rFonts w:hint="eastAsia" w:ascii="楷体_GB2312" w:hAnsi="黑体" w:eastAsia="楷体_GB2312" w:cs="FZSSK--GBK1-0"/>
          <w:kern w:val="0"/>
          <w:sz w:val="32"/>
          <w:szCs w:val="32"/>
        </w:rPr>
      </w:pPr>
      <w:r>
        <w:rPr>
          <w:rFonts w:hint="eastAsia" w:ascii="楷体_GB2312" w:hAnsi="黑体" w:eastAsia="楷体_GB2312" w:cs="FZSSK--GBK1-0"/>
          <w:kern w:val="0"/>
          <w:sz w:val="32"/>
          <w:szCs w:val="32"/>
        </w:rPr>
        <w:t xml:space="preserve">3.对标教育改革中的“9个坚持”，落实立德树人根本任务，不断创新教育方法和人才培养模式，培养德智体美劳全面发展的社会主义建设者和接班人。 </w:t>
      </w:r>
    </w:p>
    <w:p>
      <w:pPr>
        <w:spacing w:line="576" w:lineRule="exact"/>
        <w:ind w:firstLine="640" w:firstLineChars="200"/>
        <w:rPr>
          <w:rFonts w:hint="eastAsia" w:ascii="楷体_GB2312" w:hAnsi="黑体" w:eastAsia="楷体_GB2312" w:cs="FZSSK--GBK1-0"/>
          <w:kern w:val="0"/>
          <w:sz w:val="32"/>
          <w:szCs w:val="32"/>
        </w:rPr>
      </w:pPr>
      <w:r>
        <w:rPr>
          <w:rFonts w:hint="eastAsia" w:ascii="楷体_GB2312" w:hAnsi="黑体" w:eastAsia="楷体_GB2312" w:cs="FZSSK--GBK1-0"/>
          <w:kern w:val="0"/>
          <w:sz w:val="32"/>
          <w:szCs w:val="32"/>
        </w:rPr>
        <w:t>4.组织开展本校的教育教学科研和教育教学改革，科研兴教，科研兴校，全面推进素质教育实施。</w:t>
      </w:r>
    </w:p>
    <w:p>
      <w:pPr>
        <w:spacing w:line="576" w:lineRule="exact"/>
        <w:ind w:firstLine="640" w:firstLineChars="200"/>
        <w:rPr>
          <w:rFonts w:ascii="楷体_GB2312" w:hAnsi="黑体" w:eastAsia="楷体_GB2312" w:cs="FZSSK--GBK1-0"/>
          <w:kern w:val="0"/>
          <w:sz w:val="32"/>
          <w:szCs w:val="32"/>
        </w:rPr>
      </w:pPr>
      <w:r>
        <w:rPr>
          <w:rFonts w:hint="eastAsia" w:ascii="楷体_GB2312" w:hAnsi="黑体" w:eastAsia="楷体_GB2312" w:cs="FZSSK--GBK1-0"/>
          <w:kern w:val="0"/>
          <w:sz w:val="32"/>
          <w:szCs w:val="32"/>
        </w:rPr>
        <w:t xml:space="preserve">5.按照干部和教师的职数、编制和管理权限，负责本校教师人事管理、师德建设、继续教育、考核考评工作。 </w:t>
      </w:r>
    </w:p>
    <w:p>
      <w:pPr>
        <w:spacing w:line="576" w:lineRule="exact"/>
        <w:ind w:firstLine="640" w:firstLineChars="200"/>
        <w:rPr>
          <w:rFonts w:ascii="楷体_GB2312" w:hAnsi="黑体" w:eastAsia="楷体_GB2312" w:cs="FZSSK--GBK1-0"/>
          <w:kern w:val="0"/>
          <w:sz w:val="32"/>
          <w:szCs w:val="32"/>
        </w:rPr>
      </w:pPr>
      <w:r>
        <w:rPr>
          <w:rFonts w:hint="eastAsia" w:ascii="楷体_GB2312" w:hAnsi="黑体" w:eastAsia="楷体_GB2312" w:cs="FZSSK--GBK1-0"/>
          <w:kern w:val="0"/>
          <w:sz w:val="32"/>
          <w:szCs w:val="32"/>
        </w:rPr>
        <w:t>6.承担当地乡镇党委、政府和上级主管部门交办的其他事项。</w:t>
      </w:r>
    </w:p>
    <w:p>
      <w:pPr>
        <w:spacing w:line="576" w:lineRule="exact"/>
        <w:ind w:firstLine="643" w:firstLineChars="200"/>
        <w:rPr>
          <w:rFonts w:ascii="楷体_GB2312" w:hAnsi="Calibri" w:eastAsia="楷体_GB2312" w:cs="Times New Roman"/>
          <w:b/>
          <w:sz w:val="32"/>
          <w:szCs w:val="32"/>
        </w:rPr>
      </w:pPr>
      <w:r>
        <w:rPr>
          <w:rFonts w:hint="eastAsia" w:ascii="楷体_GB2312" w:hAnsi="Calibri" w:eastAsia="楷体_GB2312" w:cs="Times New Roman"/>
          <w:b/>
          <w:sz w:val="32"/>
          <w:szCs w:val="32"/>
        </w:rPr>
        <w:t>（二）2020年重点工作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2020年，亭子小学坚持以习近平新时代中国特色社会主义思想为指导，深入学习贯彻党的十九大和全国、全省、全市、全县教育大会和教育工作会议精神，落实县委、县政府及上级主管部门工作部署，围绕中心、服务大局、履职尽责。</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1.切实开展管理深化年活动，加强校园安全稳定、教育教学、教师队伍、学校后勤、学校财务和德体艺卫等管理工作；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2.加强党风廉政建设，全面提升干部职工政治、纪律意识和法纪水平；</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继续强化学生养成教育，培养学生良好的行为习惯；探索留守儿童的管理模式。</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加强校本教研，通过专家影响、名师引领、课堂竞级等活动提高年青教师的业务水平。</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加强校园文化的标准化</w:t>
      </w:r>
      <w:r>
        <w:rPr>
          <w:rFonts w:hint="eastAsia" w:ascii="仿宋_GB2312" w:eastAsia="仿宋_GB2312"/>
          <w:sz w:val="32"/>
          <w:szCs w:val="32"/>
        </w:rPr>
        <w:t>、特色化</w:t>
      </w:r>
      <w:r>
        <w:rPr>
          <w:rFonts w:ascii="仿宋_GB2312" w:eastAsia="仿宋_GB2312"/>
          <w:sz w:val="32"/>
          <w:szCs w:val="32"/>
        </w:rPr>
        <w:t>建设</w:t>
      </w:r>
      <w:r>
        <w:rPr>
          <w:rFonts w:hint="eastAsia" w:ascii="仿宋_GB2312" w:eastAsia="仿宋_GB2312"/>
          <w:sz w:val="32"/>
          <w:szCs w:val="32"/>
        </w:rPr>
        <w:t>。</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 xml:space="preserve">6.扎实推进义务教育均衡发展，办好让人民满意的教育。 </w:t>
      </w:r>
    </w:p>
    <w:p>
      <w:pPr>
        <w:spacing w:line="576" w:lineRule="exact"/>
        <w:ind w:firstLine="640" w:firstLineChars="200"/>
        <w:rPr>
          <w:rFonts w:ascii="黑体" w:hAnsi="黑体" w:eastAsia="黑体" w:cs="FZSSK--GBK1-0"/>
          <w:kern w:val="0"/>
          <w:sz w:val="32"/>
          <w:szCs w:val="32"/>
        </w:rPr>
      </w:pPr>
      <w:r>
        <w:rPr>
          <w:rFonts w:hint="eastAsia" w:ascii="黑体" w:hAnsi="黑体" w:eastAsia="黑体" w:cs="FZSSK--GBK1-0"/>
          <w:kern w:val="0"/>
          <w:sz w:val="32"/>
          <w:szCs w:val="32"/>
        </w:rPr>
        <w:t>二、机构设置及人员构成</w:t>
      </w:r>
    </w:p>
    <w:p>
      <w:pPr>
        <w:spacing w:line="576"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（一）机构设置</w:t>
      </w:r>
    </w:p>
    <w:p>
      <w:pPr>
        <w:spacing w:line="576" w:lineRule="exact"/>
        <w:ind w:firstLine="640" w:firstLineChars="200"/>
        <w:rPr>
          <w:rFonts w:ascii="仿宋_GB2312" w:hAnsi="黑体" w:eastAsia="仿宋_GB2312"/>
          <w:sz w:val="32"/>
          <w:szCs w:val="32"/>
        </w:rPr>
      </w:pPr>
      <w:r>
        <w:rPr>
          <w:rFonts w:hint="eastAsia" w:ascii="仿宋_GB2312" w:eastAsia="仿宋_GB2312"/>
          <w:sz w:val="32"/>
          <w:szCs w:val="32"/>
        </w:rPr>
        <w:t>亭子小学</w:t>
      </w:r>
      <w:r>
        <w:rPr>
          <w:rFonts w:hint="eastAsia" w:ascii="仿宋_GB2312" w:hAnsi="黑体" w:eastAsia="仿宋_GB2312"/>
          <w:sz w:val="32"/>
          <w:szCs w:val="32"/>
        </w:rPr>
        <w:t>下属二级预算单位1个，其中行政单位0个，参照公务员法管理的事业单位0个，其他事业单位1个。主要包括：</w:t>
      </w:r>
      <w:r>
        <w:rPr>
          <w:rFonts w:hint="eastAsia" w:ascii="仿宋_GB2312" w:eastAsia="仿宋_GB2312"/>
          <w:sz w:val="32"/>
          <w:szCs w:val="32"/>
        </w:rPr>
        <w:t>亭子小学</w:t>
      </w:r>
      <w:r>
        <w:rPr>
          <w:rFonts w:hint="eastAsia" w:ascii="仿宋_GB2312" w:eastAsia="仿宋_GB2312"/>
          <w:sz w:val="32"/>
          <w:szCs w:val="32"/>
          <w:lang w:eastAsia="zh-CN"/>
        </w:rPr>
        <w:t>机关</w:t>
      </w:r>
      <w:r>
        <w:rPr>
          <w:rFonts w:hint="eastAsia" w:ascii="仿宋_GB2312" w:hAnsi="黑体" w:eastAsia="仿宋_GB2312"/>
          <w:sz w:val="32"/>
          <w:szCs w:val="32"/>
        </w:rPr>
        <w:t>。</w:t>
      </w:r>
    </w:p>
    <w:p>
      <w:pPr>
        <w:spacing w:line="576"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（二）人员构成</w:t>
      </w:r>
    </w:p>
    <w:p>
      <w:pPr>
        <w:spacing w:line="576" w:lineRule="exact"/>
        <w:ind w:firstLine="640" w:firstLineChars="200"/>
        <w:rPr>
          <w:rFonts w:ascii="仿宋_GB2312" w:hAnsi="黑体" w:eastAsia="仿宋_GB2312"/>
          <w:sz w:val="32"/>
          <w:szCs w:val="32"/>
        </w:rPr>
      </w:pPr>
      <w:r>
        <w:rPr>
          <w:rFonts w:hint="eastAsia" w:ascii="仿宋_GB2312" w:eastAsia="仿宋_GB2312"/>
          <w:sz w:val="32"/>
          <w:szCs w:val="32"/>
        </w:rPr>
        <w:t>亭子小学</w:t>
      </w:r>
      <w:r>
        <w:rPr>
          <w:rFonts w:hint="eastAsia" w:ascii="仿宋_GB2312" w:hAnsi="黑体" w:eastAsia="仿宋_GB2312"/>
          <w:sz w:val="32"/>
          <w:szCs w:val="32"/>
        </w:rPr>
        <w:t>部门预算实有编制内在职人数49人，其中：行政编制0人，事业（工勤）编制49人。离退（职）休人员25人。遗属补助1人。</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三、收支预算情况说明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按照综合预算的原则，亭子小学所有收入和支出均纳入部门预算管理。收入包括：一般</w:t>
      </w:r>
      <w:r>
        <w:rPr>
          <w:rFonts w:hint="eastAsia" w:ascii="仿宋_GB2312" w:hAnsi="黑体" w:eastAsia="仿宋_GB2312"/>
          <w:sz w:val="32"/>
          <w:szCs w:val="32"/>
        </w:rPr>
        <w:t>公共预算拨款收入</w:t>
      </w:r>
      <w:r>
        <w:rPr>
          <w:rFonts w:hint="eastAsia" w:ascii="仿宋_GB2312" w:eastAsia="仿宋_GB2312"/>
          <w:sz w:val="32"/>
          <w:szCs w:val="32"/>
        </w:rPr>
        <w:t>、事业收入、上年结转；支出包括：</w:t>
      </w:r>
      <w:r>
        <w:rPr>
          <w:rFonts w:hint="eastAsia" w:ascii="仿宋_GB2312" w:hAnsi="宋体" w:eastAsia="仿宋_GB2312" w:cs="宋体"/>
          <w:kern w:val="0"/>
          <w:sz w:val="32"/>
          <w:szCs w:val="32"/>
        </w:rPr>
        <w:t>教育支出、社会保障和就业支出、卫生健康支出、住房保障支出</w:t>
      </w:r>
      <w:r>
        <w:rPr>
          <w:rFonts w:hint="eastAsia" w:ascii="仿宋_GB2312" w:eastAsia="仿宋_GB2312"/>
          <w:sz w:val="32"/>
          <w:szCs w:val="32"/>
        </w:rPr>
        <w:t>。亭子小学2020年收支总预算681.52万元，同口径较2019年收支预算总数增加135.92万元，主要原因是项目预算和人员预算经费增加等。</w:t>
      </w:r>
    </w:p>
    <w:p>
      <w:pPr>
        <w:spacing w:line="576"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（一）收入预算情况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亭子小学2020年收入预算681.52万元，其中：上年结转38.05万元，占5.6%；一般公共预算拨款收入643.47万元，占94.4%。</w:t>
      </w:r>
    </w:p>
    <w:p>
      <w:pPr>
        <w:spacing w:line="576" w:lineRule="exact"/>
        <w:ind w:firstLine="643" w:firstLineChars="200"/>
        <w:rPr>
          <w:rFonts w:ascii="楷体_GB2312" w:hAnsi="黑体" w:eastAsia="楷体_GB2312"/>
          <w:b/>
          <w:sz w:val="32"/>
          <w:szCs w:val="32"/>
        </w:rPr>
      </w:pPr>
      <w:r>
        <w:rPr>
          <w:rFonts w:hint="eastAsia" w:ascii="楷体_GB2312" w:hAnsi="黑体" w:eastAsia="楷体_GB2312"/>
          <w:b/>
          <w:sz w:val="32"/>
          <w:szCs w:val="32"/>
        </w:rPr>
        <w:t>（二）支出预算情况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亭子小学</w:t>
      </w:r>
      <w:r>
        <w:rPr>
          <w:rFonts w:hint="eastAsia" w:ascii="仿宋_GB2312" w:hAnsi="黑体" w:eastAsia="仿宋_GB2312"/>
          <w:sz w:val="32"/>
          <w:szCs w:val="32"/>
        </w:rPr>
        <w:t>2</w:t>
      </w:r>
      <w:r>
        <w:rPr>
          <w:rFonts w:hint="eastAsia" w:ascii="仿宋_GB2312" w:eastAsia="仿宋_GB2312"/>
          <w:sz w:val="32"/>
          <w:szCs w:val="32"/>
        </w:rPr>
        <w:t>020年支出预算681.52万元，其中：基本支出661.35万元，占97</w:t>
      </w:r>
      <w:r>
        <w:rPr>
          <w:rFonts w:hint="eastAsia" w:ascii="仿宋_GB2312" w:eastAsia="仿宋_GB2312"/>
          <w:sz w:val="32"/>
          <w:szCs w:val="32"/>
          <w:lang w:val="en-US" w:eastAsia="zh-CN"/>
        </w:rPr>
        <w:t>.0</w:t>
      </w:r>
      <w:r>
        <w:rPr>
          <w:rFonts w:hint="eastAsia" w:ascii="仿宋_GB2312" w:eastAsia="仿宋_GB2312"/>
          <w:sz w:val="32"/>
          <w:szCs w:val="32"/>
        </w:rPr>
        <w:t>%；项目支出20.17万元，占3</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四、财政拨款收支预算情况说明</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亭子小学2020年财政拨款收支总预算681.52万元，同口径较2019年财政拨款收支总预算增加135.92万元，主要原因是项目预算和人员预算经费增加等。</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收入包括：本年一般公共预算拨款收入643.47万元、</w:t>
      </w:r>
      <w:r>
        <w:rPr>
          <w:rFonts w:hint="eastAsia" w:ascii="仿宋_GB2312" w:hAnsi="宋体" w:eastAsia="仿宋_GB2312" w:cs="宋体"/>
          <w:kern w:val="0"/>
          <w:sz w:val="32"/>
          <w:szCs w:val="32"/>
        </w:rPr>
        <w:t>上年结转一般公共预算拨款收入38.05万元</w:t>
      </w:r>
      <w:r>
        <w:rPr>
          <w:rFonts w:hint="eastAsia" w:ascii="仿宋_GB2312" w:eastAsia="仿宋_GB2312"/>
          <w:sz w:val="32"/>
          <w:szCs w:val="32"/>
        </w:rPr>
        <w:t>。支出包括：</w:t>
      </w:r>
      <w:r>
        <w:rPr>
          <w:rFonts w:hint="eastAsia" w:ascii="仿宋_GB2312" w:hAnsi="宋体" w:eastAsia="仿宋_GB2312" w:cs="宋体"/>
          <w:kern w:val="0"/>
          <w:sz w:val="32"/>
          <w:szCs w:val="32"/>
        </w:rPr>
        <w:t>教育支出559.27万元、社会保障和就业支出54.60万元、卫生健康支出26.69万元、住房保障支出40.96万元。</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五、一般公共预算当年拨款情况说明</w:t>
      </w:r>
    </w:p>
    <w:p>
      <w:pPr>
        <w:spacing w:line="576" w:lineRule="exact"/>
        <w:ind w:firstLine="643" w:firstLineChars="200"/>
        <w:rPr>
          <w:rFonts w:ascii="仿宋_GB2312" w:eastAsia="仿宋_GB2312"/>
          <w:b/>
          <w:sz w:val="32"/>
          <w:szCs w:val="32"/>
        </w:rPr>
      </w:pPr>
      <w:r>
        <w:rPr>
          <w:rFonts w:hint="eastAsia" w:ascii="仿宋_GB2312" w:eastAsia="仿宋_GB2312"/>
          <w:b/>
          <w:sz w:val="32"/>
          <w:szCs w:val="32"/>
        </w:rPr>
        <w:t>（一）一般公共预算当年拨款规模变化情况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亭子小学2020年一般公共预算当年拨款643.47万元，同口径较2019年预算数增加135.92万元。主要原因是人员及项目支出增加。</w:t>
      </w:r>
    </w:p>
    <w:p>
      <w:pPr>
        <w:spacing w:line="576" w:lineRule="exact"/>
        <w:ind w:firstLine="643" w:firstLineChars="200"/>
        <w:rPr>
          <w:rFonts w:ascii="仿宋_GB2312" w:eastAsia="仿宋_GB2312"/>
          <w:b/>
          <w:sz w:val="32"/>
          <w:szCs w:val="32"/>
        </w:rPr>
      </w:pPr>
      <w:r>
        <w:rPr>
          <w:rFonts w:hint="eastAsia" w:ascii="仿宋_GB2312" w:eastAsia="仿宋_GB2312"/>
          <w:b/>
          <w:sz w:val="32"/>
          <w:szCs w:val="32"/>
        </w:rPr>
        <w:t>（二）一般公共预算当年拨款结构情况</w:t>
      </w:r>
    </w:p>
    <w:p>
      <w:pPr>
        <w:spacing w:line="576"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教育支出521.22万元，占81</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%；社会保障和就业支出54.60万元，占8.5%；卫生健康支出26.69万元，占4.1%；住房保障支出40.96万元，占6.4%。</w:t>
      </w:r>
    </w:p>
    <w:p>
      <w:pPr>
        <w:spacing w:line="576" w:lineRule="exact"/>
        <w:ind w:firstLine="643" w:firstLineChars="200"/>
        <w:rPr>
          <w:rFonts w:ascii="仿宋_GB2312" w:eastAsia="仿宋_GB2312"/>
          <w:sz w:val="32"/>
          <w:szCs w:val="32"/>
        </w:rPr>
      </w:pPr>
      <w:r>
        <w:rPr>
          <w:rFonts w:hint="eastAsia" w:ascii="仿宋_GB2312" w:eastAsia="仿宋_GB2312"/>
          <w:b/>
          <w:sz w:val="32"/>
          <w:szCs w:val="32"/>
        </w:rPr>
        <w:t>（三）一般公共预算当年拨款具体使用情况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1．教育支出（类）普通教育（款）小学教育（项）2020年预算数为</w:t>
      </w:r>
      <w:r>
        <w:rPr>
          <w:rFonts w:hint="eastAsia" w:ascii="仿宋_GB2312" w:hAnsi="宋体" w:eastAsia="仿宋_GB2312" w:cs="宋体"/>
          <w:kern w:val="0"/>
          <w:sz w:val="32"/>
          <w:szCs w:val="32"/>
        </w:rPr>
        <w:t>521.22</w:t>
      </w:r>
      <w:r>
        <w:rPr>
          <w:rFonts w:hint="eastAsia" w:ascii="仿宋_GB2312" w:eastAsia="仿宋_GB2312"/>
          <w:sz w:val="32"/>
          <w:szCs w:val="32"/>
        </w:rPr>
        <w:t>万元，主要用于：亭子小学</w:t>
      </w:r>
      <w:r>
        <w:rPr>
          <w:rFonts w:hint="eastAsia" w:ascii="仿宋_GB2312" w:hAnsi="黑体" w:eastAsia="仿宋_GB2312"/>
          <w:sz w:val="32"/>
          <w:szCs w:val="32"/>
        </w:rPr>
        <w:t>校</w:t>
      </w:r>
      <w:r>
        <w:rPr>
          <w:rFonts w:hint="eastAsia" w:ascii="仿宋_GB2312" w:eastAsia="仿宋_GB2312"/>
          <w:sz w:val="32"/>
          <w:szCs w:val="32"/>
        </w:rPr>
        <w:t>机关正常运转的基本支出，包括基本工资、津贴补贴等人员经费以及办公费、印刷费、水电费等日常公用经费，保障部门正常运转。</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2．社会保障和就业（类）行政事业单位养老支出（款）机关事业单位基本养老保险缴费支出（项）2020年预算数为</w:t>
      </w:r>
      <w:r>
        <w:rPr>
          <w:rFonts w:hint="eastAsia" w:ascii="仿宋_GB2312" w:hAnsi="宋体" w:eastAsia="仿宋_GB2312" w:cs="宋体"/>
          <w:kern w:val="0"/>
          <w:sz w:val="32"/>
          <w:szCs w:val="32"/>
        </w:rPr>
        <w:t>54.60</w:t>
      </w:r>
      <w:r>
        <w:rPr>
          <w:rFonts w:hint="eastAsia" w:ascii="仿宋_GB2312" w:eastAsia="仿宋_GB2312"/>
          <w:sz w:val="32"/>
          <w:szCs w:val="32"/>
        </w:rPr>
        <w:t>万元，主要用于：实施养老保险制度后，部门按规定由单位缴纳的基本养老保险费支出。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3．卫生健康（类）行政事业单位医疗（款）事业单位医疗（项）2020年预算数为</w:t>
      </w:r>
      <w:r>
        <w:rPr>
          <w:rFonts w:hint="eastAsia" w:ascii="仿宋_GB2312" w:hAnsi="宋体" w:eastAsia="仿宋_GB2312" w:cs="宋体"/>
          <w:kern w:val="0"/>
          <w:sz w:val="32"/>
          <w:szCs w:val="32"/>
        </w:rPr>
        <w:t>26.69</w:t>
      </w:r>
      <w:r>
        <w:rPr>
          <w:rFonts w:hint="eastAsia" w:ascii="仿宋_GB2312" w:eastAsia="仿宋_GB2312"/>
          <w:sz w:val="32"/>
          <w:szCs w:val="32"/>
        </w:rPr>
        <w:t>万元，主要用于：事业单位基本医疗保险缴费支出。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4．住房保障（类）住房改革支出（款）住房公积金（项）:2020年预算数为</w:t>
      </w:r>
      <w:r>
        <w:rPr>
          <w:rFonts w:hint="eastAsia" w:ascii="仿宋_GB2312" w:hAnsi="宋体" w:eastAsia="仿宋_GB2312" w:cs="宋体"/>
          <w:kern w:val="0"/>
          <w:sz w:val="32"/>
          <w:szCs w:val="32"/>
        </w:rPr>
        <w:t>40.96</w:t>
      </w:r>
      <w:r>
        <w:rPr>
          <w:rFonts w:hint="eastAsia" w:ascii="仿宋_GB2312" w:eastAsia="仿宋_GB2312"/>
          <w:sz w:val="32"/>
          <w:szCs w:val="32"/>
        </w:rPr>
        <w:t>万元，主要用于：部门按人力资源和社会保障部、财政部规定的基本工资和津贴补贴以及规定比例为职工缴纳的住房公积金支出。</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六、一般公共预算基本支出情况说明</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亭子小学2020年一般公共预算基本支出643.47万元，其中：</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人员经费596.75万元，主要包括：基本工资、津贴补贴、奖金、社会保险缴费等支出。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公用经费46.72万元，主要包括：办公费、印刷费、水费、电费、邮电费、差旅费、维修（护）费、物业管理费、劳务费等支出。</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七、“三公”经费财政拨款预算安排情况说明</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亭子小学2020年“三公”经费财政拨款预算数1.5</w:t>
      </w:r>
      <w:r>
        <w:rPr>
          <w:rFonts w:hint="eastAsia" w:ascii="仿宋_GB2312" w:eastAsia="仿宋_GB2312"/>
          <w:sz w:val="32"/>
          <w:szCs w:val="32"/>
          <w:lang w:val="en-US" w:eastAsia="zh-CN"/>
        </w:rPr>
        <w:t>0</w:t>
      </w:r>
      <w:r>
        <w:rPr>
          <w:rFonts w:hint="eastAsia" w:ascii="仿宋_GB2312" w:eastAsia="仿宋_GB2312"/>
          <w:sz w:val="32"/>
          <w:szCs w:val="32"/>
        </w:rPr>
        <w:t>万元，其中：因公出国（境）经费0万元，公务接待费</w:t>
      </w:r>
      <w:r>
        <w:rPr>
          <w:rFonts w:hint="eastAsia" w:ascii="仿宋_GB2312" w:eastAsia="仿宋_GB2312"/>
          <w:sz w:val="32"/>
          <w:szCs w:val="32"/>
          <w:lang w:val="en-US" w:eastAsia="zh-CN"/>
        </w:rPr>
        <w:t>1.50</w:t>
      </w:r>
      <w:r>
        <w:rPr>
          <w:rFonts w:hint="eastAsia" w:ascii="仿宋_GB2312" w:eastAsia="仿宋_GB2312"/>
          <w:sz w:val="32"/>
          <w:szCs w:val="32"/>
        </w:rPr>
        <w:t>万元，公务用车购置及运行维护费0万元。</w:t>
      </w:r>
    </w:p>
    <w:p>
      <w:pPr>
        <w:spacing w:line="576" w:lineRule="exact"/>
        <w:ind w:firstLine="643" w:firstLineChars="200"/>
        <w:rPr>
          <w:rFonts w:ascii="仿宋_GB2312" w:eastAsia="仿宋_GB2312"/>
          <w:sz w:val="32"/>
          <w:szCs w:val="32"/>
        </w:rPr>
      </w:pPr>
      <w:r>
        <w:rPr>
          <w:rFonts w:hint="eastAsia" w:ascii="仿宋_GB2312" w:eastAsia="仿宋_GB2312"/>
          <w:b/>
          <w:sz w:val="32"/>
          <w:szCs w:val="32"/>
        </w:rPr>
        <w:t>（一）因公出国（境）经费未安排预算。</w:t>
      </w:r>
    </w:p>
    <w:p>
      <w:pPr>
        <w:spacing w:line="576" w:lineRule="exact"/>
        <w:ind w:firstLine="640" w:firstLineChars="200"/>
        <w:rPr>
          <w:rFonts w:hint="eastAsia" w:ascii="仿宋_GB2312" w:eastAsia="仿宋_GB2312"/>
          <w:b/>
          <w:sz w:val="32"/>
          <w:szCs w:val="32"/>
        </w:rPr>
      </w:pPr>
      <w:r>
        <w:rPr>
          <w:rFonts w:hint="eastAsia" w:ascii="仿宋_GB2312" w:eastAsia="仿宋_GB2312"/>
          <w:sz w:val="32"/>
          <w:szCs w:val="32"/>
        </w:rPr>
        <w:t>（二）</w:t>
      </w:r>
      <w:r>
        <w:rPr>
          <w:rFonts w:hint="eastAsia" w:ascii="仿宋_GB2312" w:eastAsia="仿宋_GB2312"/>
          <w:b/>
          <w:sz w:val="32"/>
          <w:szCs w:val="32"/>
        </w:rPr>
        <w:t>公务接待费（同口径）与2019年预算</w:t>
      </w:r>
      <w:r>
        <w:rPr>
          <w:rFonts w:hint="eastAsia" w:ascii="仿宋_GB2312" w:eastAsia="仿宋_GB2312"/>
          <w:b/>
          <w:sz w:val="32"/>
          <w:szCs w:val="32"/>
          <w:lang w:eastAsia="zh-CN"/>
        </w:rPr>
        <w:t>增长</w:t>
      </w:r>
      <w:r>
        <w:rPr>
          <w:rFonts w:hint="eastAsia" w:ascii="仿宋_GB2312" w:eastAsia="仿宋_GB2312"/>
          <w:b/>
          <w:sz w:val="32"/>
          <w:szCs w:val="32"/>
          <w:lang w:val="en-US" w:eastAsia="zh-CN"/>
        </w:rPr>
        <w:t>5.3%</w:t>
      </w:r>
      <w:r>
        <w:rPr>
          <w:rFonts w:hint="eastAsia" w:ascii="仿宋_GB2312" w:eastAsia="仿宋_GB2312"/>
          <w:b/>
          <w:sz w:val="32"/>
          <w:szCs w:val="32"/>
        </w:rPr>
        <w:t>。</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2020年公务接待费计划用于执行接待考察调研、检查指导等公务活动开支的交通费、用餐费等。</w:t>
      </w:r>
    </w:p>
    <w:p>
      <w:pPr>
        <w:spacing w:line="576" w:lineRule="exact"/>
        <w:ind w:firstLine="643" w:firstLineChars="200"/>
        <w:rPr>
          <w:rFonts w:ascii="仿宋_GB2312" w:eastAsia="仿宋_GB2312"/>
          <w:sz w:val="32"/>
          <w:szCs w:val="32"/>
        </w:rPr>
      </w:pPr>
      <w:r>
        <w:rPr>
          <w:rFonts w:hint="eastAsia" w:ascii="仿宋_GB2312" w:eastAsia="仿宋_GB2312"/>
          <w:b/>
          <w:sz w:val="32"/>
          <w:szCs w:val="32"/>
        </w:rPr>
        <w:t>（三）公务用车购置及运行维护费。</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单位现有公务用车0辆，其中：轿车0辆、越野车0辆、其他乘用车0辆。</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2020年未安排公务用车购置费。</w:t>
      </w:r>
    </w:p>
    <w:p>
      <w:pPr>
        <w:spacing w:line="576" w:lineRule="exact"/>
        <w:ind w:firstLine="640" w:firstLineChars="200"/>
        <w:rPr>
          <w:rFonts w:ascii="仿宋_GB2312" w:eastAsia="仿宋_GB2312"/>
          <w:sz w:val="32"/>
          <w:szCs w:val="32"/>
          <w:highlight w:val="yellow"/>
        </w:rPr>
      </w:pPr>
      <w:r>
        <w:rPr>
          <w:rFonts w:hint="eastAsia" w:ascii="仿宋_GB2312" w:eastAsia="仿宋_GB2312"/>
          <w:sz w:val="32"/>
          <w:szCs w:val="32"/>
        </w:rPr>
        <w:t>2020年未安排公务用车运行维护费。</w:t>
      </w:r>
    </w:p>
    <w:p>
      <w:pPr>
        <w:spacing w:line="576" w:lineRule="exact"/>
        <w:ind w:firstLine="640" w:firstLineChars="200"/>
        <w:rPr>
          <w:rFonts w:ascii="仿宋_GB2312" w:eastAsia="仿宋_GB2312"/>
          <w:sz w:val="32"/>
          <w:szCs w:val="32"/>
        </w:rPr>
      </w:pPr>
      <w:r>
        <w:rPr>
          <w:rFonts w:hint="eastAsia" w:ascii="黑体" w:hAnsi="黑体" w:eastAsia="黑体"/>
          <w:sz w:val="32"/>
          <w:szCs w:val="32"/>
        </w:rPr>
        <w:t>八、政府性基金预算支出情况说</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亭子小学2020年没有使用政府性基金预算拨款安排的支出。</w:t>
      </w:r>
    </w:p>
    <w:p>
      <w:pPr>
        <w:spacing w:line="576" w:lineRule="exact"/>
        <w:ind w:firstLine="640" w:firstLineChars="200"/>
        <w:rPr>
          <w:rFonts w:ascii="仿宋_GB2312" w:eastAsia="仿宋_GB2312"/>
          <w:sz w:val="32"/>
          <w:szCs w:val="32"/>
        </w:rPr>
      </w:pPr>
      <w:r>
        <w:rPr>
          <w:rFonts w:hint="eastAsia" w:ascii="黑体" w:hAnsi="黑体" w:eastAsia="黑体"/>
          <w:sz w:val="32"/>
          <w:szCs w:val="32"/>
        </w:rPr>
        <w:t>九、国有资本经营预算支出情况</w:t>
      </w:r>
    </w:p>
    <w:p>
      <w:pPr>
        <w:spacing w:line="576" w:lineRule="exact"/>
        <w:ind w:firstLine="640" w:firstLineChars="200"/>
        <w:rPr>
          <w:rFonts w:ascii="仿宋_GB2312" w:hAnsi="黑体" w:eastAsia="仿宋_GB2312"/>
          <w:sz w:val="32"/>
          <w:szCs w:val="32"/>
        </w:rPr>
      </w:pPr>
      <w:r>
        <w:rPr>
          <w:rFonts w:hint="eastAsia" w:ascii="仿宋_GB2312" w:eastAsia="仿宋_GB2312"/>
          <w:sz w:val="32"/>
          <w:szCs w:val="32"/>
        </w:rPr>
        <w:t>亭子小学</w:t>
      </w:r>
      <w:r>
        <w:rPr>
          <w:rFonts w:hint="eastAsia" w:ascii="仿宋_GB2312" w:hAnsi="黑体" w:eastAsia="仿宋_GB2312"/>
          <w:sz w:val="32"/>
          <w:szCs w:val="32"/>
        </w:rPr>
        <w:t>2020年没有使用国有资本经营预算拨款安排的支出。</w:t>
      </w:r>
    </w:p>
    <w:p>
      <w:pPr>
        <w:spacing w:line="576" w:lineRule="exact"/>
        <w:ind w:firstLine="640" w:firstLineChars="200"/>
        <w:rPr>
          <w:rFonts w:ascii="仿宋_GB2312" w:eastAsia="仿宋_GB2312"/>
          <w:sz w:val="32"/>
          <w:szCs w:val="32"/>
        </w:rPr>
      </w:pPr>
      <w:r>
        <w:rPr>
          <w:rFonts w:hint="eastAsia" w:ascii="黑体" w:hAnsi="黑体" w:eastAsia="黑体"/>
          <w:sz w:val="32"/>
          <w:szCs w:val="32"/>
        </w:rPr>
        <w:t>十、其他重要事项的情况说明</w:t>
      </w:r>
    </w:p>
    <w:p>
      <w:pPr>
        <w:spacing w:line="576" w:lineRule="exact"/>
        <w:ind w:firstLine="643" w:firstLineChars="200"/>
        <w:rPr>
          <w:rFonts w:ascii="仿宋_GB2312" w:eastAsia="仿宋_GB2312"/>
          <w:b/>
          <w:sz w:val="32"/>
          <w:szCs w:val="32"/>
        </w:rPr>
      </w:pPr>
      <w:r>
        <w:rPr>
          <w:rFonts w:hint="eastAsia" w:ascii="仿宋_GB2312" w:eastAsia="仿宋_GB2312"/>
          <w:b/>
          <w:sz w:val="32"/>
          <w:szCs w:val="32"/>
        </w:rPr>
        <w:t>（一）机关运行经费</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2020年，亭子小学下属1个事业单位的机关运行经费财政拨款预算为46.72万元，同口径较2019年预算增加1.41万元，增长3.1%，主要原因是学生人数有所增加，办学投入有小幅增长。</w:t>
      </w:r>
    </w:p>
    <w:p>
      <w:pPr>
        <w:spacing w:line="576" w:lineRule="exact"/>
        <w:ind w:firstLine="643" w:firstLineChars="200"/>
        <w:rPr>
          <w:rFonts w:ascii="仿宋_GB2312" w:eastAsia="仿宋_GB2312"/>
          <w:b/>
          <w:sz w:val="32"/>
          <w:szCs w:val="32"/>
        </w:rPr>
      </w:pPr>
      <w:r>
        <w:rPr>
          <w:rFonts w:hint="eastAsia" w:ascii="仿宋_GB2312" w:eastAsia="仿宋_GB2312"/>
          <w:b/>
          <w:sz w:val="32"/>
          <w:szCs w:val="32"/>
        </w:rPr>
        <w:t>（二）政府采购情况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2020年，亭子小学</w:t>
      </w:r>
      <w:r>
        <w:rPr>
          <w:rFonts w:hint="eastAsia" w:ascii="仿宋_GB2312" w:hAnsi="黑体" w:eastAsia="仿宋_GB2312"/>
          <w:sz w:val="32"/>
          <w:szCs w:val="32"/>
        </w:rPr>
        <w:t>校</w:t>
      </w:r>
      <w:r>
        <w:rPr>
          <w:rFonts w:hint="eastAsia" w:ascii="仿宋_GB2312" w:eastAsia="仿宋_GB2312"/>
          <w:sz w:val="32"/>
          <w:szCs w:val="32"/>
        </w:rPr>
        <w:t>未安排政府采购预算。</w:t>
      </w:r>
    </w:p>
    <w:p>
      <w:pPr>
        <w:spacing w:line="576" w:lineRule="exact"/>
        <w:ind w:firstLine="643" w:firstLineChars="200"/>
        <w:rPr>
          <w:rFonts w:ascii="仿宋_GB2312" w:eastAsia="仿宋_GB2312"/>
          <w:sz w:val="32"/>
          <w:szCs w:val="32"/>
        </w:rPr>
      </w:pPr>
      <w:r>
        <w:rPr>
          <w:rFonts w:hint="eastAsia" w:ascii="仿宋_GB2312" w:eastAsia="仿宋_GB2312"/>
          <w:b/>
          <w:sz w:val="32"/>
          <w:szCs w:val="32"/>
        </w:rPr>
        <w:t>（三）国有资产占有使用情况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截至2019年底，亭子小学</w:t>
      </w:r>
      <w:r>
        <w:rPr>
          <w:rFonts w:hint="eastAsia" w:ascii="仿宋_GB2312" w:hAnsi="黑体" w:eastAsia="仿宋_GB2312"/>
          <w:sz w:val="32"/>
          <w:szCs w:val="32"/>
        </w:rPr>
        <w:t>校</w:t>
      </w:r>
      <w:r>
        <w:rPr>
          <w:rFonts w:hint="eastAsia" w:ascii="仿宋_GB2312" w:eastAsia="仿宋_GB2312"/>
          <w:sz w:val="32"/>
          <w:szCs w:val="32"/>
        </w:rPr>
        <w:t>共有车辆0辆，其中，定向保障用车0辆、执法执勤用车0辆。单位价值200万元以上大型设备0台（套）。</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2020年部门预算未安排购置车辆及单位价值200万元以上大型设备。</w:t>
      </w:r>
    </w:p>
    <w:p>
      <w:pPr>
        <w:spacing w:line="576" w:lineRule="exact"/>
        <w:ind w:firstLine="643" w:firstLineChars="200"/>
        <w:rPr>
          <w:rFonts w:ascii="仿宋_GB2312" w:eastAsia="仿宋_GB2312"/>
          <w:b/>
          <w:sz w:val="32"/>
          <w:szCs w:val="32"/>
        </w:rPr>
      </w:pPr>
      <w:r>
        <w:rPr>
          <w:rFonts w:hint="eastAsia" w:ascii="仿宋_GB2312" w:eastAsia="仿宋_GB2312"/>
          <w:b/>
          <w:sz w:val="32"/>
          <w:szCs w:val="32"/>
        </w:rPr>
        <w:t>（四）绩效目标设置情况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绩效目标是预算编制的前提和基础，按照“费随事定”的原则，2020年亭子小学部门预算整体支出和项目支出均按要求编制了绩效目标，从年度内履职所要达到的总体产出和效果，以及项目完成、项目效益、满意度等方面设置了绩效目标，综合反映部门整体支出和项目预期完成的数量、成本、时效、质量，预期达到的社会效益、经济效益、生态效益、可持续影响以及服务对象满意度等情况。</w:t>
      </w:r>
    </w:p>
    <w:p>
      <w:pPr>
        <w:spacing w:line="576" w:lineRule="exact"/>
        <w:ind w:firstLine="640" w:firstLineChars="200"/>
        <w:rPr>
          <w:rFonts w:ascii="仿宋_GB2312" w:eastAsia="仿宋_GB2312"/>
          <w:sz w:val="32"/>
          <w:szCs w:val="32"/>
        </w:rPr>
      </w:pPr>
      <w:r>
        <w:rPr>
          <w:rFonts w:hint="eastAsia" w:ascii="黑体" w:hAnsi="黑体" w:eastAsia="黑体"/>
          <w:sz w:val="32"/>
          <w:szCs w:val="32"/>
        </w:rPr>
        <w:t>十一、名词解释</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（一）一般公共预算拨款收入：指县级财政当年拨付的资金。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（二）上年结转：指以前年度尚未完成，结转到本年仍按原规定用途继续使用的资金。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（三）教育支出（类）普通教育（款）小学教育（项）：指亭子小学用于保障机构正常运行、开展日常工作的基本支出。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（四）社会保障和就业（类）行政事业单位养老支出（款）机关事业单位基本养老保险缴费支出（项）：指部门实施养老保险制度后，由单位缴纳的养老保险费的支出。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）卫生健康（类）行政事业单位医疗（款）事业单位医疗（项）：指事业单位用于缴纳单位基本医疗保险支出。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）住房保障（类）住房改革支出（款）住房公积金（项）：指按照《住房公积金管理条例》的规定，由单位及其在职职工缴存的长期住房储金。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）基本支出：指为保证机构正常运转，完成日常工作任务而发生的人员支出和公用支出。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八</w:t>
      </w:r>
      <w:r>
        <w:rPr>
          <w:rFonts w:hint="eastAsia" w:ascii="仿宋_GB2312" w:eastAsia="仿宋_GB2312"/>
          <w:sz w:val="32"/>
          <w:szCs w:val="32"/>
        </w:rPr>
        <w:t>）项目支出：指在基本支出之外为完成特定行政任务和事业发展目标所发生的支出。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九</w:t>
      </w:r>
      <w:r>
        <w:rPr>
          <w:rFonts w:hint="eastAsia" w:ascii="仿宋_GB2312" w:eastAsia="仿宋_GB2312"/>
          <w:sz w:val="32"/>
          <w:szCs w:val="32"/>
        </w:rPr>
        <w:t>）“三公”经费：纳入亭子小学预算管理的“三公”经费，是指部门用财政拨款安排的因公出国（境）费用、公务用车购置及运行费和公务接待费。其中，因公出国（境）费用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w:t>
      </w:r>
      <w:bookmarkStart w:id="0" w:name="_GoBack"/>
      <w:bookmarkEnd w:id="0"/>
      <w:r>
        <w:rPr>
          <w:rFonts w:hint="eastAsia" w:ascii="仿宋_GB2312" w:eastAsia="仿宋_GB2312"/>
          <w:sz w:val="32"/>
          <w:szCs w:val="32"/>
        </w:rPr>
        <w:t>）机关运行经费：指各部门的公用经费，包括办公及印刷费、邮电费、差旅费、会议费、福利费、日常维修费、专用材料及一般设备购置费、办公用房水电费、办公用房物业管理费、公务用车运行维护费以及其他费用。</w:t>
      </w:r>
    </w:p>
    <w:p>
      <w:pPr>
        <w:spacing w:line="500" w:lineRule="exact"/>
        <w:ind w:firstLine="640" w:firstLineChars="200"/>
        <w:rPr>
          <w:rFonts w:ascii="仿宋_GB2312" w:hAnsi="黑体" w:eastAsia="仿宋_GB2312"/>
          <w:sz w:val="32"/>
          <w:szCs w:val="32"/>
        </w:rPr>
      </w:pPr>
    </w:p>
    <w:p>
      <w:pPr>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附件：表1．部门收支总表</w:t>
      </w:r>
    </w:p>
    <w:p>
      <w:pPr>
        <w:spacing w:line="500" w:lineRule="exact"/>
        <w:ind w:firstLine="1635" w:firstLineChars="511"/>
        <w:rPr>
          <w:rFonts w:ascii="仿宋_GB2312" w:hAnsi="黑体" w:eastAsia="仿宋_GB2312"/>
          <w:sz w:val="32"/>
          <w:szCs w:val="32"/>
        </w:rPr>
      </w:pPr>
      <w:r>
        <w:rPr>
          <w:rFonts w:hint="eastAsia" w:ascii="仿宋_GB2312" w:hAnsi="黑体" w:eastAsia="仿宋_GB2312"/>
          <w:sz w:val="32"/>
          <w:szCs w:val="32"/>
        </w:rPr>
        <w:t>表1-1．部门收入总表</w:t>
      </w:r>
    </w:p>
    <w:p>
      <w:pPr>
        <w:spacing w:line="500" w:lineRule="exact"/>
        <w:ind w:firstLine="1635" w:firstLineChars="511"/>
        <w:rPr>
          <w:rFonts w:ascii="仿宋_GB2312" w:hAnsi="黑体" w:eastAsia="仿宋_GB2312"/>
          <w:sz w:val="32"/>
          <w:szCs w:val="32"/>
        </w:rPr>
      </w:pPr>
      <w:r>
        <w:rPr>
          <w:rFonts w:hint="eastAsia" w:ascii="仿宋_GB2312" w:hAnsi="黑体" w:eastAsia="仿宋_GB2312"/>
          <w:sz w:val="32"/>
          <w:szCs w:val="32"/>
        </w:rPr>
        <w:t>表1-2．部门支出总表</w:t>
      </w:r>
    </w:p>
    <w:p>
      <w:pPr>
        <w:spacing w:line="500" w:lineRule="exact"/>
        <w:ind w:firstLine="1635" w:firstLineChars="511"/>
        <w:rPr>
          <w:rFonts w:ascii="仿宋_GB2312" w:hAnsi="黑体" w:eastAsia="仿宋_GB2312"/>
          <w:sz w:val="32"/>
          <w:szCs w:val="32"/>
        </w:rPr>
      </w:pPr>
      <w:r>
        <w:rPr>
          <w:rFonts w:hint="eastAsia" w:ascii="仿宋_GB2312" w:hAnsi="黑体" w:eastAsia="仿宋_GB2312"/>
          <w:sz w:val="32"/>
          <w:szCs w:val="32"/>
        </w:rPr>
        <w:t>表2．财政拨款收支总表</w:t>
      </w:r>
    </w:p>
    <w:p>
      <w:pPr>
        <w:spacing w:line="500" w:lineRule="exact"/>
        <w:ind w:firstLine="1635" w:firstLineChars="511"/>
        <w:rPr>
          <w:rFonts w:ascii="仿宋_GB2312" w:hAnsi="黑体" w:eastAsia="仿宋_GB2312"/>
          <w:sz w:val="32"/>
          <w:szCs w:val="32"/>
        </w:rPr>
      </w:pPr>
      <w:r>
        <w:rPr>
          <w:rFonts w:hint="eastAsia" w:ascii="仿宋_GB2312" w:hAnsi="黑体" w:eastAsia="仿宋_GB2312"/>
          <w:sz w:val="32"/>
          <w:szCs w:val="32"/>
        </w:rPr>
        <w:t>表</w:t>
      </w:r>
      <w:r>
        <w:rPr>
          <w:rFonts w:ascii="仿宋_GB2312" w:hAnsi="黑体" w:eastAsia="仿宋_GB2312"/>
          <w:sz w:val="32"/>
          <w:szCs w:val="32"/>
        </w:rPr>
        <w:t>2</w:t>
      </w:r>
      <w:r>
        <w:rPr>
          <w:rFonts w:hint="eastAsia" w:ascii="仿宋_GB2312" w:hAnsi="黑体" w:eastAsia="仿宋_GB2312"/>
          <w:sz w:val="32"/>
          <w:szCs w:val="32"/>
        </w:rPr>
        <w:t>-</w:t>
      </w:r>
      <w:r>
        <w:rPr>
          <w:rFonts w:ascii="仿宋_GB2312" w:hAnsi="黑体" w:eastAsia="仿宋_GB2312"/>
          <w:sz w:val="32"/>
          <w:szCs w:val="32"/>
        </w:rPr>
        <w:t>1</w:t>
      </w:r>
      <w:r>
        <w:rPr>
          <w:rFonts w:hint="eastAsia" w:ascii="仿宋_GB2312" w:hAnsi="黑体" w:eastAsia="仿宋_GB2312"/>
          <w:sz w:val="32"/>
          <w:szCs w:val="32"/>
        </w:rPr>
        <w:t>．财政拨款支出预算表（政府经济分类科目）</w:t>
      </w:r>
    </w:p>
    <w:p>
      <w:pPr>
        <w:spacing w:line="500" w:lineRule="exact"/>
        <w:ind w:firstLine="1635" w:firstLineChars="511"/>
        <w:rPr>
          <w:rFonts w:ascii="仿宋_GB2312" w:hAnsi="黑体" w:eastAsia="仿宋_GB2312"/>
          <w:sz w:val="32"/>
          <w:szCs w:val="32"/>
        </w:rPr>
      </w:pPr>
      <w:r>
        <w:rPr>
          <w:rFonts w:hint="eastAsia" w:ascii="仿宋_GB2312" w:hAnsi="黑体" w:eastAsia="仿宋_GB2312"/>
          <w:sz w:val="32"/>
          <w:szCs w:val="32"/>
        </w:rPr>
        <w:t>表3．一般公共预算支出预算表</w:t>
      </w:r>
    </w:p>
    <w:p>
      <w:pPr>
        <w:spacing w:line="500" w:lineRule="exact"/>
        <w:ind w:firstLine="1635" w:firstLineChars="511"/>
        <w:rPr>
          <w:rFonts w:ascii="仿宋_GB2312" w:hAnsi="黑体" w:eastAsia="仿宋_GB2312"/>
          <w:sz w:val="32"/>
          <w:szCs w:val="32"/>
        </w:rPr>
      </w:pPr>
      <w:r>
        <w:rPr>
          <w:rFonts w:hint="eastAsia" w:ascii="仿宋_GB2312" w:hAnsi="黑体" w:eastAsia="仿宋_GB2312"/>
          <w:sz w:val="32"/>
          <w:szCs w:val="32"/>
        </w:rPr>
        <w:t>表3-1．一般公共预算基本支出预算表</w:t>
      </w:r>
    </w:p>
    <w:p>
      <w:pPr>
        <w:spacing w:line="500" w:lineRule="exact"/>
        <w:ind w:firstLine="1635" w:firstLineChars="511"/>
        <w:rPr>
          <w:rFonts w:ascii="仿宋_GB2312" w:hAnsi="黑体" w:eastAsia="仿宋_GB2312"/>
          <w:sz w:val="32"/>
          <w:szCs w:val="32"/>
        </w:rPr>
      </w:pPr>
      <w:r>
        <w:rPr>
          <w:rFonts w:hint="eastAsia" w:ascii="仿宋_GB2312" w:hAnsi="黑体" w:eastAsia="仿宋_GB2312"/>
          <w:sz w:val="32"/>
          <w:szCs w:val="32"/>
        </w:rPr>
        <w:t>表3-2．一般公共预算项目支出预算表</w:t>
      </w:r>
    </w:p>
    <w:p>
      <w:pPr>
        <w:spacing w:line="500" w:lineRule="exact"/>
        <w:ind w:firstLine="1635" w:firstLineChars="511"/>
        <w:rPr>
          <w:rFonts w:ascii="仿宋_GB2312" w:hAnsi="黑体" w:eastAsia="仿宋_GB2312"/>
          <w:sz w:val="32"/>
          <w:szCs w:val="32"/>
        </w:rPr>
      </w:pPr>
      <w:r>
        <w:rPr>
          <w:rFonts w:hint="eastAsia" w:ascii="仿宋_GB2312" w:hAnsi="黑体" w:eastAsia="仿宋_GB2312"/>
          <w:sz w:val="32"/>
          <w:szCs w:val="32"/>
        </w:rPr>
        <w:t>表3-3．一般公共预算“三公”经费支出预算表</w:t>
      </w:r>
    </w:p>
    <w:p>
      <w:pPr>
        <w:spacing w:line="500" w:lineRule="exact"/>
        <w:ind w:firstLine="1635" w:firstLineChars="511"/>
        <w:rPr>
          <w:rFonts w:ascii="仿宋_GB2312" w:hAnsi="黑体" w:eastAsia="仿宋_GB2312"/>
          <w:sz w:val="32"/>
          <w:szCs w:val="32"/>
        </w:rPr>
      </w:pPr>
      <w:r>
        <w:rPr>
          <w:rFonts w:hint="eastAsia" w:ascii="仿宋_GB2312" w:hAnsi="黑体" w:eastAsia="仿宋_GB2312"/>
          <w:sz w:val="32"/>
          <w:szCs w:val="32"/>
        </w:rPr>
        <w:t>表4．政府性基金支出预算表</w:t>
      </w:r>
    </w:p>
    <w:p>
      <w:pPr>
        <w:spacing w:line="500" w:lineRule="exact"/>
        <w:ind w:firstLine="1635" w:firstLineChars="511"/>
        <w:rPr>
          <w:rFonts w:ascii="仿宋_GB2312" w:hAnsi="黑体" w:eastAsia="仿宋_GB2312"/>
          <w:sz w:val="32"/>
          <w:szCs w:val="32"/>
        </w:rPr>
      </w:pPr>
      <w:r>
        <w:rPr>
          <w:rFonts w:hint="eastAsia" w:ascii="仿宋_GB2312" w:hAnsi="黑体" w:eastAsia="仿宋_GB2312"/>
          <w:sz w:val="32"/>
          <w:szCs w:val="32"/>
        </w:rPr>
        <w:t>表4-1．政府性基金预算“三公”经费支出预算表</w:t>
      </w:r>
    </w:p>
    <w:p>
      <w:pPr>
        <w:spacing w:line="500" w:lineRule="exact"/>
        <w:ind w:firstLine="1635" w:firstLineChars="511"/>
        <w:rPr>
          <w:rFonts w:ascii="仿宋_GB2312" w:hAnsi="黑体" w:eastAsia="仿宋_GB2312"/>
          <w:sz w:val="32"/>
          <w:szCs w:val="32"/>
        </w:rPr>
      </w:pPr>
      <w:r>
        <w:rPr>
          <w:rFonts w:hint="eastAsia" w:ascii="仿宋_GB2312" w:hAnsi="黑体" w:eastAsia="仿宋_GB2312"/>
          <w:sz w:val="32"/>
          <w:szCs w:val="32"/>
        </w:rPr>
        <w:t>表5．国有资本经营预算支出预算表</w:t>
      </w:r>
    </w:p>
    <w:p>
      <w:pPr>
        <w:spacing w:line="500" w:lineRule="exact"/>
        <w:ind w:firstLine="1635" w:firstLineChars="511"/>
        <w:rPr>
          <w:rFonts w:ascii="仿宋_GB2312" w:hAnsi="黑体" w:eastAsia="仿宋_GB2312"/>
          <w:sz w:val="32"/>
          <w:szCs w:val="32"/>
        </w:rPr>
      </w:pPr>
      <w:r>
        <w:rPr>
          <w:rFonts w:hint="eastAsia" w:ascii="仿宋_GB2312" w:hAnsi="黑体" w:eastAsia="仿宋_GB2312"/>
          <w:sz w:val="32"/>
          <w:szCs w:val="32"/>
        </w:rPr>
        <w:t>表6．2020年部门整体支出绩效目标</w:t>
      </w:r>
    </w:p>
    <w:p>
      <w:pPr>
        <w:spacing w:line="500" w:lineRule="exact"/>
        <w:ind w:firstLine="1635" w:firstLineChars="511"/>
        <w:rPr>
          <w:rFonts w:ascii="仿宋_GB2312" w:hAnsi="黑体" w:eastAsia="仿宋_GB2312"/>
          <w:sz w:val="32"/>
          <w:szCs w:val="32"/>
        </w:rPr>
      </w:pPr>
      <w:r>
        <w:rPr>
          <w:rFonts w:hint="eastAsia" w:ascii="仿宋_GB2312" w:hAnsi="黑体" w:eastAsia="仿宋_GB2312"/>
          <w:sz w:val="32"/>
          <w:szCs w:val="32"/>
        </w:rPr>
        <w:t>表6-1．2020年部门预算项目支出绩效目标</w:t>
      </w:r>
    </w:p>
    <w:p>
      <w:pPr>
        <w:spacing w:line="600" w:lineRule="exact"/>
        <w:ind w:firstLine="640" w:firstLineChars="200"/>
        <w:rPr>
          <w:rFonts w:ascii="仿宋_GB2312" w:eastAsia="仿宋_GB2312"/>
          <w:sz w:val="32"/>
          <w:szCs w:val="32"/>
        </w:rPr>
      </w:pP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大标宋简">
    <w:altName w:val="微软雅黑"/>
    <w:panose1 w:val="00000000000000000000"/>
    <w:charset w:val="86"/>
    <w:family w:val="modern"/>
    <w:pitch w:val="default"/>
    <w:sig w:usb0="00000000" w:usb1="00000000" w:usb2="00000010" w:usb3="00000000" w:csb0="00040000" w:csb1="00000000"/>
  </w:font>
  <w:font w:name="FZLTCHK--GBK1-0">
    <w:altName w:val="宋体"/>
    <w:panose1 w:val="00000000000000000000"/>
    <w:charset w:val="86"/>
    <w:family w:val="auto"/>
    <w:pitch w:val="default"/>
    <w:sig w:usb0="00000000" w:usb1="00000000" w:usb2="00000010" w:usb3="00000000" w:csb0="00040000" w:csb1="00000000"/>
  </w:font>
  <w:font w:name="FZSSK--GBK1-0">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23716"/>
    </w:sdtPr>
    <w:sdtContent>
      <w:p>
        <w:pPr>
          <w:pStyle w:val="3"/>
          <w:wordWrap w:val="0"/>
          <w:jc w:val="right"/>
        </w:pPr>
        <w:r>
          <w:rPr>
            <w:rFonts w:hint="eastAsia"/>
          </w:rPr>
          <w:t xml:space="preserve">— </w:t>
        </w:r>
        <w:r>
          <w:fldChar w:fldCharType="begin"/>
        </w:r>
        <w:r>
          <w:instrText xml:space="preserve"> PAGE   \* MERGEFORMAT </w:instrText>
        </w:r>
        <w:r>
          <w:fldChar w:fldCharType="separate"/>
        </w:r>
        <w:r>
          <w:rPr>
            <w:lang w:val="zh-CN"/>
          </w:rPr>
          <w:t>1</w:t>
        </w:r>
        <w:r>
          <w:rPr>
            <w:lang w:val="zh-CN"/>
          </w:rPr>
          <w:fldChar w:fldCharType="end"/>
        </w:r>
        <w:r>
          <w:rPr>
            <w:rFonts w:hint="eastAsia"/>
          </w:rPr>
          <w:t xml:space="preserve"> —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sdt>
      <w:sdtPr>
        <w:id w:val="6975324"/>
      </w:sdtPr>
      <w:sdtContent>
        <w:r>
          <w:rPr>
            <w:rFonts w:hint="eastAsia"/>
          </w:rPr>
          <w:t xml:space="preserve">— </w:t>
        </w:r>
        <w:r>
          <w:fldChar w:fldCharType="begin"/>
        </w:r>
        <w:r>
          <w:instrText xml:space="preserve"> PAGE   \* MERGEFORMAT </w:instrText>
        </w:r>
        <w:r>
          <w:fldChar w:fldCharType="separate"/>
        </w:r>
        <w:r>
          <w:rPr>
            <w:lang w:val="zh-CN"/>
          </w:rPr>
          <w:t>2</w:t>
        </w:r>
        <w:r>
          <w:rPr>
            <w:lang w:val="zh-CN"/>
          </w:rPr>
          <w:fldChar w:fldCharType="end"/>
        </w:r>
        <w:r>
          <w:rPr>
            <w:rFonts w:hint="eastAsia"/>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709F1"/>
    <w:rsid w:val="00000322"/>
    <w:rsid w:val="000172DA"/>
    <w:rsid w:val="0002018B"/>
    <w:rsid w:val="000252E9"/>
    <w:rsid w:val="000423F9"/>
    <w:rsid w:val="00046F95"/>
    <w:rsid w:val="00047E57"/>
    <w:rsid w:val="000514F2"/>
    <w:rsid w:val="000528C6"/>
    <w:rsid w:val="0006041D"/>
    <w:rsid w:val="00061683"/>
    <w:rsid w:val="00061E74"/>
    <w:rsid w:val="000656F7"/>
    <w:rsid w:val="00066189"/>
    <w:rsid w:val="000676A0"/>
    <w:rsid w:val="0007099F"/>
    <w:rsid w:val="000762E1"/>
    <w:rsid w:val="00076FFA"/>
    <w:rsid w:val="00080F0F"/>
    <w:rsid w:val="00084D0A"/>
    <w:rsid w:val="00095361"/>
    <w:rsid w:val="00097CDE"/>
    <w:rsid w:val="000B5A83"/>
    <w:rsid w:val="000B5EA4"/>
    <w:rsid w:val="000B6C0B"/>
    <w:rsid w:val="000C6005"/>
    <w:rsid w:val="000D03E9"/>
    <w:rsid w:val="000D0918"/>
    <w:rsid w:val="000D5B80"/>
    <w:rsid w:val="000F117E"/>
    <w:rsid w:val="00101667"/>
    <w:rsid w:val="001045AF"/>
    <w:rsid w:val="0010541E"/>
    <w:rsid w:val="001060A7"/>
    <w:rsid w:val="00111D8A"/>
    <w:rsid w:val="0011203C"/>
    <w:rsid w:val="00112FDC"/>
    <w:rsid w:val="001136D9"/>
    <w:rsid w:val="00113A4E"/>
    <w:rsid w:val="00113B4E"/>
    <w:rsid w:val="00120582"/>
    <w:rsid w:val="00120A26"/>
    <w:rsid w:val="00130596"/>
    <w:rsid w:val="001471D9"/>
    <w:rsid w:val="00152977"/>
    <w:rsid w:val="00154D8B"/>
    <w:rsid w:val="0015522B"/>
    <w:rsid w:val="00155234"/>
    <w:rsid w:val="00164408"/>
    <w:rsid w:val="00165EFD"/>
    <w:rsid w:val="001666DF"/>
    <w:rsid w:val="00173834"/>
    <w:rsid w:val="00182745"/>
    <w:rsid w:val="00183F7A"/>
    <w:rsid w:val="00184D27"/>
    <w:rsid w:val="00190534"/>
    <w:rsid w:val="00192D60"/>
    <w:rsid w:val="00194C53"/>
    <w:rsid w:val="001A2600"/>
    <w:rsid w:val="001A28F5"/>
    <w:rsid w:val="001B07FC"/>
    <w:rsid w:val="001B4E25"/>
    <w:rsid w:val="001C2F9E"/>
    <w:rsid w:val="001F353D"/>
    <w:rsid w:val="001F6794"/>
    <w:rsid w:val="001F6CFA"/>
    <w:rsid w:val="001F6EFC"/>
    <w:rsid w:val="00211F2E"/>
    <w:rsid w:val="00213139"/>
    <w:rsid w:val="00214696"/>
    <w:rsid w:val="002258F1"/>
    <w:rsid w:val="00225DB2"/>
    <w:rsid w:val="00227A46"/>
    <w:rsid w:val="0023619C"/>
    <w:rsid w:val="0023681C"/>
    <w:rsid w:val="00246CA1"/>
    <w:rsid w:val="0025469C"/>
    <w:rsid w:val="0026039A"/>
    <w:rsid w:val="00260A4E"/>
    <w:rsid w:val="002723B9"/>
    <w:rsid w:val="00275DAA"/>
    <w:rsid w:val="00280E1A"/>
    <w:rsid w:val="002813D5"/>
    <w:rsid w:val="00285B21"/>
    <w:rsid w:val="00290C37"/>
    <w:rsid w:val="0029607F"/>
    <w:rsid w:val="00296727"/>
    <w:rsid w:val="0029791E"/>
    <w:rsid w:val="002A284D"/>
    <w:rsid w:val="002A736E"/>
    <w:rsid w:val="002B5A43"/>
    <w:rsid w:val="002B7D07"/>
    <w:rsid w:val="002C242F"/>
    <w:rsid w:val="002D499F"/>
    <w:rsid w:val="002E38FC"/>
    <w:rsid w:val="002F259B"/>
    <w:rsid w:val="002F3847"/>
    <w:rsid w:val="003141A4"/>
    <w:rsid w:val="003155B0"/>
    <w:rsid w:val="003161D8"/>
    <w:rsid w:val="003233D1"/>
    <w:rsid w:val="00331B49"/>
    <w:rsid w:val="0033525A"/>
    <w:rsid w:val="0034399C"/>
    <w:rsid w:val="003463B8"/>
    <w:rsid w:val="00346B70"/>
    <w:rsid w:val="003754CD"/>
    <w:rsid w:val="003836BE"/>
    <w:rsid w:val="003849EA"/>
    <w:rsid w:val="0039403B"/>
    <w:rsid w:val="003B251F"/>
    <w:rsid w:val="003C061E"/>
    <w:rsid w:val="003D57BD"/>
    <w:rsid w:val="003E272F"/>
    <w:rsid w:val="004012BD"/>
    <w:rsid w:val="004043CD"/>
    <w:rsid w:val="00404A15"/>
    <w:rsid w:val="00405008"/>
    <w:rsid w:val="00407922"/>
    <w:rsid w:val="00411DD2"/>
    <w:rsid w:val="004126B9"/>
    <w:rsid w:val="00412AF1"/>
    <w:rsid w:val="00412F30"/>
    <w:rsid w:val="00416773"/>
    <w:rsid w:val="00422D75"/>
    <w:rsid w:val="004239FB"/>
    <w:rsid w:val="00431B0B"/>
    <w:rsid w:val="00435F84"/>
    <w:rsid w:val="00447FA2"/>
    <w:rsid w:val="00451F03"/>
    <w:rsid w:val="00454806"/>
    <w:rsid w:val="00471553"/>
    <w:rsid w:val="0047187A"/>
    <w:rsid w:val="00473194"/>
    <w:rsid w:val="004807A0"/>
    <w:rsid w:val="00481661"/>
    <w:rsid w:val="00490D56"/>
    <w:rsid w:val="004A673E"/>
    <w:rsid w:val="004B0A50"/>
    <w:rsid w:val="004B25FA"/>
    <w:rsid w:val="004B5E72"/>
    <w:rsid w:val="004C0270"/>
    <w:rsid w:val="004C187E"/>
    <w:rsid w:val="004C33B5"/>
    <w:rsid w:val="004D743D"/>
    <w:rsid w:val="004E0BDB"/>
    <w:rsid w:val="004E6A1D"/>
    <w:rsid w:val="004F52B1"/>
    <w:rsid w:val="00507F4D"/>
    <w:rsid w:val="00507F96"/>
    <w:rsid w:val="00516084"/>
    <w:rsid w:val="00520A6F"/>
    <w:rsid w:val="00520D01"/>
    <w:rsid w:val="00523D1E"/>
    <w:rsid w:val="005247E6"/>
    <w:rsid w:val="00530E76"/>
    <w:rsid w:val="00547049"/>
    <w:rsid w:val="0055509A"/>
    <w:rsid w:val="0056294C"/>
    <w:rsid w:val="0056538E"/>
    <w:rsid w:val="00565449"/>
    <w:rsid w:val="00580C49"/>
    <w:rsid w:val="00592C26"/>
    <w:rsid w:val="005A3222"/>
    <w:rsid w:val="005B1690"/>
    <w:rsid w:val="005B5C74"/>
    <w:rsid w:val="005C1ABE"/>
    <w:rsid w:val="005D26D9"/>
    <w:rsid w:val="005D324D"/>
    <w:rsid w:val="005D4EAD"/>
    <w:rsid w:val="005E12D0"/>
    <w:rsid w:val="005E56A5"/>
    <w:rsid w:val="005E698E"/>
    <w:rsid w:val="005E6D30"/>
    <w:rsid w:val="00605806"/>
    <w:rsid w:val="00620505"/>
    <w:rsid w:val="00620553"/>
    <w:rsid w:val="0062163F"/>
    <w:rsid w:val="00621C51"/>
    <w:rsid w:val="00622228"/>
    <w:rsid w:val="00627847"/>
    <w:rsid w:val="00631438"/>
    <w:rsid w:val="00632D3E"/>
    <w:rsid w:val="006340B5"/>
    <w:rsid w:val="0063494F"/>
    <w:rsid w:val="00636C55"/>
    <w:rsid w:val="00640AF7"/>
    <w:rsid w:val="006415F5"/>
    <w:rsid w:val="00641D6D"/>
    <w:rsid w:val="006503DC"/>
    <w:rsid w:val="006566B6"/>
    <w:rsid w:val="0065734E"/>
    <w:rsid w:val="00657684"/>
    <w:rsid w:val="00662365"/>
    <w:rsid w:val="006646FA"/>
    <w:rsid w:val="00665BAB"/>
    <w:rsid w:val="0067116F"/>
    <w:rsid w:val="00671BC1"/>
    <w:rsid w:val="0067249C"/>
    <w:rsid w:val="00682498"/>
    <w:rsid w:val="006845C9"/>
    <w:rsid w:val="00685AB3"/>
    <w:rsid w:val="00687470"/>
    <w:rsid w:val="00692977"/>
    <w:rsid w:val="00694BF4"/>
    <w:rsid w:val="00695BB2"/>
    <w:rsid w:val="00697F47"/>
    <w:rsid w:val="006A10FF"/>
    <w:rsid w:val="006A4302"/>
    <w:rsid w:val="006A61C5"/>
    <w:rsid w:val="006B14DB"/>
    <w:rsid w:val="006C239F"/>
    <w:rsid w:val="006C3370"/>
    <w:rsid w:val="006C6038"/>
    <w:rsid w:val="006D024C"/>
    <w:rsid w:val="006D6C2F"/>
    <w:rsid w:val="006D7073"/>
    <w:rsid w:val="006E1A20"/>
    <w:rsid w:val="006E4436"/>
    <w:rsid w:val="006F4E08"/>
    <w:rsid w:val="00703CC7"/>
    <w:rsid w:val="00705547"/>
    <w:rsid w:val="00710A45"/>
    <w:rsid w:val="007111BB"/>
    <w:rsid w:val="0072426F"/>
    <w:rsid w:val="00730ED3"/>
    <w:rsid w:val="0073408C"/>
    <w:rsid w:val="00735436"/>
    <w:rsid w:val="00741A7B"/>
    <w:rsid w:val="00746428"/>
    <w:rsid w:val="0075096A"/>
    <w:rsid w:val="00751E59"/>
    <w:rsid w:val="0075303D"/>
    <w:rsid w:val="00766015"/>
    <w:rsid w:val="00766521"/>
    <w:rsid w:val="00766E44"/>
    <w:rsid w:val="007732C4"/>
    <w:rsid w:val="00775F6B"/>
    <w:rsid w:val="00777DB7"/>
    <w:rsid w:val="00786ACC"/>
    <w:rsid w:val="00790C47"/>
    <w:rsid w:val="00795D2F"/>
    <w:rsid w:val="00796523"/>
    <w:rsid w:val="007A5761"/>
    <w:rsid w:val="007B348B"/>
    <w:rsid w:val="007B52E5"/>
    <w:rsid w:val="007C1341"/>
    <w:rsid w:val="007C1C13"/>
    <w:rsid w:val="007C2E5F"/>
    <w:rsid w:val="007C455B"/>
    <w:rsid w:val="007C73B2"/>
    <w:rsid w:val="007C7472"/>
    <w:rsid w:val="007D5CF8"/>
    <w:rsid w:val="007E2292"/>
    <w:rsid w:val="007E523B"/>
    <w:rsid w:val="007F1C1A"/>
    <w:rsid w:val="007F6D4E"/>
    <w:rsid w:val="00802974"/>
    <w:rsid w:val="00802CB2"/>
    <w:rsid w:val="0080774C"/>
    <w:rsid w:val="00823CDF"/>
    <w:rsid w:val="008260A2"/>
    <w:rsid w:val="008269E7"/>
    <w:rsid w:val="00827801"/>
    <w:rsid w:val="00827E5B"/>
    <w:rsid w:val="00842EE9"/>
    <w:rsid w:val="0084508B"/>
    <w:rsid w:val="008506B6"/>
    <w:rsid w:val="00851665"/>
    <w:rsid w:val="00860A31"/>
    <w:rsid w:val="00861B28"/>
    <w:rsid w:val="008673FA"/>
    <w:rsid w:val="00867A1B"/>
    <w:rsid w:val="00872318"/>
    <w:rsid w:val="008810B2"/>
    <w:rsid w:val="00881688"/>
    <w:rsid w:val="008826B3"/>
    <w:rsid w:val="0088497F"/>
    <w:rsid w:val="00886430"/>
    <w:rsid w:val="0089036A"/>
    <w:rsid w:val="00890697"/>
    <w:rsid w:val="00890F6B"/>
    <w:rsid w:val="00893CE5"/>
    <w:rsid w:val="00894028"/>
    <w:rsid w:val="00896352"/>
    <w:rsid w:val="008A02A6"/>
    <w:rsid w:val="008A6439"/>
    <w:rsid w:val="008C6CF6"/>
    <w:rsid w:val="008D0A37"/>
    <w:rsid w:val="008D1AB6"/>
    <w:rsid w:val="008D407F"/>
    <w:rsid w:val="008D4134"/>
    <w:rsid w:val="008D6685"/>
    <w:rsid w:val="008D699C"/>
    <w:rsid w:val="008D6DCF"/>
    <w:rsid w:val="00900E97"/>
    <w:rsid w:val="00906C05"/>
    <w:rsid w:val="0090792C"/>
    <w:rsid w:val="00911B66"/>
    <w:rsid w:val="00920FF1"/>
    <w:rsid w:val="0093229F"/>
    <w:rsid w:val="00932B98"/>
    <w:rsid w:val="00932F87"/>
    <w:rsid w:val="00934950"/>
    <w:rsid w:val="00935B4B"/>
    <w:rsid w:val="00935E40"/>
    <w:rsid w:val="00941833"/>
    <w:rsid w:val="0094254B"/>
    <w:rsid w:val="00946299"/>
    <w:rsid w:val="00946A58"/>
    <w:rsid w:val="00946CB4"/>
    <w:rsid w:val="00951EB8"/>
    <w:rsid w:val="00953AA2"/>
    <w:rsid w:val="00962E44"/>
    <w:rsid w:val="00970215"/>
    <w:rsid w:val="00972B3F"/>
    <w:rsid w:val="009779D9"/>
    <w:rsid w:val="00980ED6"/>
    <w:rsid w:val="00991D6F"/>
    <w:rsid w:val="0099554F"/>
    <w:rsid w:val="009A2BBD"/>
    <w:rsid w:val="009A2D52"/>
    <w:rsid w:val="009A6D88"/>
    <w:rsid w:val="009A7416"/>
    <w:rsid w:val="009B210E"/>
    <w:rsid w:val="009B4904"/>
    <w:rsid w:val="009B552F"/>
    <w:rsid w:val="009B7AF5"/>
    <w:rsid w:val="009C00D9"/>
    <w:rsid w:val="009C0A5E"/>
    <w:rsid w:val="009C7B9F"/>
    <w:rsid w:val="009D1F93"/>
    <w:rsid w:val="009D335B"/>
    <w:rsid w:val="009D4561"/>
    <w:rsid w:val="009D5A11"/>
    <w:rsid w:val="009D6C02"/>
    <w:rsid w:val="009F488E"/>
    <w:rsid w:val="009F4B13"/>
    <w:rsid w:val="009F6527"/>
    <w:rsid w:val="00A01584"/>
    <w:rsid w:val="00A200A2"/>
    <w:rsid w:val="00A2128F"/>
    <w:rsid w:val="00A21EAC"/>
    <w:rsid w:val="00A32028"/>
    <w:rsid w:val="00A37674"/>
    <w:rsid w:val="00A42105"/>
    <w:rsid w:val="00A42CBF"/>
    <w:rsid w:val="00A506AD"/>
    <w:rsid w:val="00A53454"/>
    <w:rsid w:val="00A54043"/>
    <w:rsid w:val="00A56CFA"/>
    <w:rsid w:val="00A576DD"/>
    <w:rsid w:val="00A64970"/>
    <w:rsid w:val="00A64D30"/>
    <w:rsid w:val="00A64D45"/>
    <w:rsid w:val="00A67E7A"/>
    <w:rsid w:val="00A70D8A"/>
    <w:rsid w:val="00A74F2C"/>
    <w:rsid w:val="00A77A33"/>
    <w:rsid w:val="00A81879"/>
    <w:rsid w:val="00A8453A"/>
    <w:rsid w:val="00A847C2"/>
    <w:rsid w:val="00A8751B"/>
    <w:rsid w:val="00A879F2"/>
    <w:rsid w:val="00A93A5F"/>
    <w:rsid w:val="00AA156D"/>
    <w:rsid w:val="00AA7BBF"/>
    <w:rsid w:val="00AB3EA8"/>
    <w:rsid w:val="00AB40F3"/>
    <w:rsid w:val="00AB7177"/>
    <w:rsid w:val="00AD077B"/>
    <w:rsid w:val="00AD6EBF"/>
    <w:rsid w:val="00AD6F6F"/>
    <w:rsid w:val="00AE0936"/>
    <w:rsid w:val="00AF3B39"/>
    <w:rsid w:val="00AF578E"/>
    <w:rsid w:val="00AF735A"/>
    <w:rsid w:val="00B01C58"/>
    <w:rsid w:val="00B03D81"/>
    <w:rsid w:val="00B07DB1"/>
    <w:rsid w:val="00B134CF"/>
    <w:rsid w:val="00B13FD5"/>
    <w:rsid w:val="00B15B13"/>
    <w:rsid w:val="00B20237"/>
    <w:rsid w:val="00B20B0A"/>
    <w:rsid w:val="00B3166B"/>
    <w:rsid w:val="00B3183D"/>
    <w:rsid w:val="00B37D52"/>
    <w:rsid w:val="00B4507F"/>
    <w:rsid w:val="00B45560"/>
    <w:rsid w:val="00B46F74"/>
    <w:rsid w:val="00B50770"/>
    <w:rsid w:val="00B50CAC"/>
    <w:rsid w:val="00B56BA2"/>
    <w:rsid w:val="00B60A40"/>
    <w:rsid w:val="00B74D65"/>
    <w:rsid w:val="00B7609F"/>
    <w:rsid w:val="00B76AAD"/>
    <w:rsid w:val="00B8275A"/>
    <w:rsid w:val="00B92DC1"/>
    <w:rsid w:val="00B96797"/>
    <w:rsid w:val="00B976C9"/>
    <w:rsid w:val="00BA333F"/>
    <w:rsid w:val="00BA4B6B"/>
    <w:rsid w:val="00BB3B4A"/>
    <w:rsid w:val="00BB6FFB"/>
    <w:rsid w:val="00BC04A2"/>
    <w:rsid w:val="00BC0664"/>
    <w:rsid w:val="00BC314A"/>
    <w:rsid w:val="00BC4887"/>
    <w:rsid w:val="00BC55DB"/>
    <w:rsid w:val="00BD1B58"/>
    <w:rsid w:val="00BD35B8"/>
    <w:rsid w:val="00BD43B1"/>
    <w:rsid w:val="00BE049B"/>
    <w:rsid w:val="00BE4832"/>
    <w:rsid w:val="00BE569C"/>
    <w:rsid w:val="00BF1685"/>
    <w:rsid w:val="00C00757"/>
    <w:rsid w:val="00C0083A"/>
    <w:rsid w:val="00C06200"/>
    <w:rsid w:val="00C065AB"/>
    <w:rsid w:val="00C20CDB"/>
    <w:rsid w:val="00C22CF3"/>
    <w:rsid w:val="00C2313A"/>
    <w:rsid w:val="00C32D4F"/>
    <w:rsid w:val="00C35102"/>
    <w:rsid w:val="00C43C3F"/>
    <w:rsid w:val="00C451C7"/>
    <w:rsid w:val="00C45598"/>
    <w:rsid w:val="00C511E1"/>
    <w:rsid w:val="00C515F6"/>
    <w:rsid w:val="00C5300F"/>
    <w:rsid w:val="00C63E2E"/>
    <w:rsid w:val="00C6556F"/>
    <w:rsid w:val="00C65D26"/>
    <w:rsid w:val="00C71FCB"/>
    <w:rsid w:val="00C72C75"/>
    <w:rsid w:val="00C759E2"/>
    <w:rsid w:val="00C76613"/>
    <w:rsid w:val="00C854FB"/>
    <w:rsid w:val="00C85861"/>
    <w:rsid w:val="00C9411D"/>
    <w:rsid w:val="00C94136"/>
    <w:rsid w:val="00C95F2E"/>
    <w:rsid w:val="00CB6DC4"/>
    <w:rsid w:val="00CD1B43"/>
    <w:rsid w:val="00CD754B"/>
    <w:rsid w:val="00CE06DE"/>
    <w:rsid w:val="00CE0BE2"/>
    <w:rsid w:val="00CF0A08"/>
    <w:rsid w:val="00CF6EF3"/>
    <w:rsid w:val="00D004E9"/>
    <w:rsid w:val="00D026AB"/>
    <w:rsid w:val="00D02CC2"/>
    <w:rsid w:val="00D0342C"/>
    <w:rsid w:val="00D06A0A"/>
    <w:rsid w:val="00D07242"/>
    <w:rsid w:val="00D10F0C"/>
    <w:rsid w:val="00D127B5"/>
    <w:rsid w:val="00D202F0"/>
    <w:rsid w:val="00D24427"/>
    <w:rsid w:val="00D302FF"/>
    <w:rsid w:val="00D3267A"/>
    <w:rsid w:val="00D43387"/>
    <w:rsid w:val="00D45013"/>
    <w:rsid w:val="00D508C6"/>
    <w:rsid w:val="00D51DDA"/>
    <w:rsid w:val="00D56379"/>
    <w:rsid w:val="00D56C0E"/>
    <w:rsid w:val="00D67710"/>
    <w:rsid w:val="00D728D4"/>
    <w:rsid w:val="00D81EEA"/>
    <w:rsid w:val="00D82CDB"/>
    <w:rsid w:val="00D83A98"/>
    <w:rsid w:val="00D870FE"/>
    <w:rsid w:val="00D87D54"/>
    <w:rsid w:val="00D90274"/>
    <w:rsid w:val="00D90911"/>
    <w:rsid w:val="00D95EA0"/>
    <w:rsid w:val="00DA067C"/>
    <w:rsid w:val="00DB5B55"/>
    <w:rsid w:val="00DC4105"/>
    <w:rsid w:val="00DC7DDF"/>
    <w:rsid w:val="00DD03B5"/>
    <w:rsid w:val="00DD2174"/>
    <w:rsid w:val="00DD3E77"/>
    <w:rsid w:val="00DE22EA"/>
    <w:rsid w:val="00DE3C1D"/>
    <w:rsid w:val="00DE41CE"/>
    <w:rsid w:val="00DE62E9"/>
    <w:rsid w:val="00DF00FD"/>
    <w:rsid w:val="00DF0686"/>
    <w:rsid w:val="00DF2B29"/>
    <w:rsid w:val="00DF5AEB"/>
    <w:rsid w:val="00DF6CFB"/>
    <w:rsid w:val="00E02E00"/>
    <w:rsid w:val="00E03AEB"/>
    <w:rsid w:val="00E13FD9"/>
    <w:rsid w:val="00E151E8"/>
    <w:rsid w:val="00E175B9"/>
    <w:rsid w:val="00E24122"/>
    <w:rsid w:val="00E36BEA"/>
    <w:rsid w:val="00E43603"/>
    <w:rsid w:val="00E446BE"/>
    <w:rsid w:val="00E464ED"/>
    <w:rsid w:val="00E749EE"/>
    <w:rsid w:val="00EA0CA0"/>
    <w:rsid w:val="00EA5A91"/>
    <w:rsid w:val="00EA689C"/>
    <w:rsid w:val="00EB02A7"/>
    <w:rsid w:val="00EB05DA"/>
    <w:rsid w:val="00EB1AC6"/>
    <w:rsid w:val="00EB4F79"/>
    <w:rsid w:val="00EB7557"/>
    <w:rsid w:val="00EC06A3"/>
    <w:rsid w:val="00EC07CA"/>
    <w:rsid w:val="00EC3C4C"/>
    <w:rsid w:val="00EC6F92"/>
    <w:rsid w:val="00ED60DD"/>
    <w:rsid w:val="00ED7730"/>
    <w:rsid w:val="00EE477B"/>
    <w:rsid w:val="00EE5553"/>
    <w:rsid w:val="00EF038C"/>
    <w:rsid w:val="00EF096F"/>
    <w:rsid w:val="00EF3607"/>
    <w:rsid w:val="00EF3A6D"/>
    <w:rsid w:val="00EF44CB"/>
    <w:rsid w:val="00F001E1"/>
    <w:rsid w:val="00F02836"/>
    <w:rsid w:val="00F04DB4"/>
    <w:rsid w:val="00F05CAA"/>
    <w:rsid w:val="00F1426E"/>
    <w:rsid w:val="00F15717"/>
    <w:rsid w:val="00F23FC9"/>
    <w:rsid w:val="00F2741C"/>
    <w:rsid w:val="00F35486"/>
    <w:rsid w:val="00F3677D"/>
    <w:rsid w:val="00F40C56"/>
    <w:rsid w:val="00F417FD"/>
    <w:rsid w:val="00F45D2D"/>
    <w:rsid w:val="00F466A7"/>
    <w:rsid w:val="00F5590B"/>
    <w:rsid w:val="00F56422"/>
    <w:rsid w:val="00F606F9"/>
    <w:rsid w:val="00F6211D"/>
    <w:rsid w:val="00F62E4B"/>
    <w:rsid w:val="00F70734"/>
    <w:rsid w:val="00F709F1"/>
    <w:rsid w:val="00F70AE4"/>
    <w:rsid w:val="00F76B3B"/>
    <w:rsid w:val="00F77941"/>
    <w:rsid w:val="00F90CA2"/>
    <w:rsid w:val="00F92855"/>
    <w:rsid w:val="00F9769A"/>
    <w:rsid w:val="00FB317B"/>
    <w:rsid w:val="00FB61D6"/>
    <w:rsid w:val="00FC5344"/>
    <w:rsid w:val="00FC5F7C"/>
    <w:rsid w:val="00FC6B59"/>
    <w:rsid w:val="00FD011B"/>
    <w:rsid w:val="00FD12A2"/>
    <w:rsid w:val="00FD4347"/>
    <w:rsid w:val="00FD59A4"/>
    <w:rsid w:val="00FD6250"/>
    <w:rsid w:val="00FD67D7"/>
    <w:rsid w:val="00FE067F"/>
    <w:rsid w:val="00FE3A49"/>
    <w:rsid w:val="00FE4BAE"/>
    <w:rsid w:val="00FF2197"/>
    <w:rsid w:val="00FF68C3"/>
    <w:rsid w:val="04F009CD"/>
    <w:rsid w:val="0ABB5984"/>
    <w:rsid w:val="12695275"/>
    <w:rsid w:val="1B254259"/>
    <w:rsid w:val="2568228B"/>
    <w:rsid w:val="25BD2DC3"/>
    <w:rsid w:val="2855131F"/>
    <w:rsid w:val="293319BA"/>
    <w:rsid w:val="33F02DC5"/>
    <w:rsid w:val="357A76E1"/>
    <w:rsid w:val="3AD46A66"/>
    <w:rsid w:val="40011C0A"/>
    <w:rsid w:val="45166001"/>
    <w:rsid w:val="48396CCF"/>
    <w:rsid w:val="49876436"/>
    <w:rsid w:val="4C1B77AE"/>
    <w:rsid w:val="4C4A3CC9"/>
    <w:rsid w:val="51C81426"/>
    <w:rsid w:val="526037AE"/>
    <w:rsid w:val="58813B93"/>
    <w:rsid w:val="58F82AED"/>
    <w:rsid w:val="5E693E7C"/>
    <w:rsid w:val="64427E1A"/>
    <w:rsid w:val="64865E00"/>
    <w:rsid w:val="65190632"/>
    <w:rsid w:val="68FB6F42"/>
    <w:rsid w:val="69C7772F"/>
    <w:rsid w:val="6BBA05A4"/>
    <w:rsid w:val="6FDC661C"/>
    <w:rsid w:val="76770EC4"/>
    <w:rsid w:val="7DAD1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84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pPr>
      <w:spacing w:line="240" w:lineRule="auto"/>
    </w:pPr>
    <w:rPr>
      <w:sz w:val="18"/>
      <w:szCs w:val="18"/>
    </w:rPr>
  </w:style>
  <w:style w:type="paragraph" w:styleId="3">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6">
    <w:name w:val="Strong"/>
    <w:basedOn w:val="5"/>
    <w:qFormat/>
    <w:uiPriority w:val="22"/>
    <w:rPr>
      <w:b/>
      <w:bCs/>
    </w:rPr>
  </w:style>
  <w:style w:type="character" w:customStyle="1" w:styleId="8">
    <w:name w:val="pagetext0031"/>
    <w:basedOn w:val="5"/>
    <w:qFormat/>
    <w:uiPriority w:val="0"/>
    <w:rPr>
      <w:rFonts w:hint="eastAsia" w:ascii="宋体" w:hAnsi="宋体" w:eastAsia="宋体"/>
      <w:color w:val="555555"/>
      <w:sz w:val="30"/>
      <w:szCs w:val="30"/>
    </w:rPr>
  </w:style>
  <w:style w:type="character" w:customStyle="1" w:styleId="9">
    <w:name w:val="页眉 Char"/>
    <w:basedOn w:val="5"/>
    <w:link w:val="4"/>
    <w:qFormat/>
    <w:uiPriority w:val="99"/>
    <w:rPr>
      <w:sz w:val="18"/>
      <w:szCs w:val="18"/>
    </w:rPr>
  </w:style>
  <w:style w:type="character" w:customStyle="1" w:styleId="10">
    <w:name w:val="页脚 Char"/>
    <w:basedOn w:val="5"/>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5"/>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A92F89-22A0-4172-B8BC-DFE28A762BBB}">
  <ds:schemaRefs/>
</ds:datastoreItem>
</file>

<file path=docProps/app.xml><?xml version="1.0" encoding="utf-8"?>
<Properties xmlns="http://schemas.openxmlformats.org/officeDocument/2006/extended-properties" xmlns:vt="http://schemas.openxmlformats.org/officeDocument/2006/docPropsVTypes">
  <Template>Normal.dotm</Template>
  <Company>苍溪县智新商贸发展有限公司</Company>
  <Pages>9</Pages>
  <Words>617</Words>
  <Characters>3520</Characters>
  <Lines>29</Lines>
  <Paragraphs>8</Paragraphs>
  <TotalTime>8</TotalTime>
  <ScaleCrop>false</ScaleCrop>
  <LinksUpToDate>false</LinksUpToDate>
  <CharactersWithSpaces>4129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2020-06-27T23:23:00Z</dcterms:created>
  <dc:creator>SkyUser</dc:creator>
  <cp:lastModifiedBy>Administrator</cp:lastModifiedBy>
  <cp:lastPrinted>2019-01-21T01:11:00Z</cp:lastPrinted>
  <dcterms:modified xsi:type="dcterms:W3CDTF">2020-07-30T14:56:29Z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