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黑体" w:hAnsi="黑体" w:eastAsia="黑体" w:cs="黑体"/>
          <w:color w:val="000000" w:themeColor="text1"/>
          <w:sz w:val="32"/>
          <w:szCs w:val="32"/>
          <w14:textFill>
            <w14:solidFill>
              <w14:schemeClr w14:val="tx1"/>
            </w14:solidFill>
          </w14:textFill>
        </w:rPr>
      </w:pPr>
      <w:bookmarkStart w:id="0" w:name="_Toc5428"/>
      <w:r>
        <w:rPr>
          <w:rFonts w:hint="eastAsia" w:ascii="黑体" w:hAnsi="黑体" w:eastAsia="黑体" w:cs="黑体"/>
          <w:color w:val="000000" w:themeColor="text1"/>
          <w:sz w:val="32"/>
          <w:szCs w:val="32"/>
          <w14:textFill>
            <w14:solidFill>
              <w14:schemeClr w14:val="tx1"/>
            </w14:solidFill>
          </w14:textFill>
        </w:rPr>
        <w:t>附件1</w:t>
      </w:r>
      <w:bookmarkEnd w:id="0"/>
    </w:p>
    <w:p>
      <w:pPr>
        <w:keepNext w:val="0"/>
        <w:keepLines w:val="0"/>
        <w:pageBreakBefore w:val="0"/>
        <w:widowControl w:val="0"/>
        <w:kinsoku/>
        <w:wordWrap/>
        <w:overflowPunct/>
        <w:topLinePunct w:val="0"/>
        <w:autoSpaceDE/>
        <w:autoSpaceDN/>
        <w:bidi w:val="0"/>
        <w:adjustRightInd/>
        <w:snapToGrid/>
        <w:spacing w:after="161" w:afterLines="50" w:line="480" w:lineRule="exact"/>
        <w:jc w:val="center"/>
        <w:textAlignment w:val="auto"/>
        <w:outlineLvl w:val="9"/>
        <w:rPr>
          <w:rFonts w:hint="eastAsia" w:ascii="宋体" w:hAnsi="宋体" w:eastAsia="宋体"/>
          <w:b/>
          <w:bCs/>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lang w:eastAsia="zh-CN"/>
          <w14:textFill>
            <w14:solidFill>
              <w14:schemeClr w14:val="tx1"/>
            </w14:solidFill>
          </w14:textFill>
        </w:rPr>
        <w:t>苍溪县2019年电子商务</w:t>
      </w:r>
      <w:bookmarkStart w:id="1" w:name="_GoBack"/>
      <w:bookmarkEnd w:id="1"/>
      <w:r>
        <w:rPr>
          <w:rFonts w:hint="eastAsia" w:ascii="方正小标宋简体" w:hAnsi="方正小标宋简体" w:eastAsia="方正小标宋简体" w:cs="方正小标宋简体"/>
          <w:b w:val="0"/>
          <w:bCs w:val="0"/>
          <w:color w:val="000000" w:themeColor="text1"/>
          <w:sz w:val="40"/>
          <w:szCs w:val="40"/>
          <w:lang w:eastAsia="zh-CN"/>
          <w14:textFill>
            <w14:solidFill>
              <w14:schemeClr w14:val="tx1"/>
            </w14:solidFill>
          </w14:textFill>
        </w:rPr>
        <w:t>进农村综合示范项目清单</w:t>
      </w:r>
    </w:p>
    <w:p>
      <w:pPr>
        <w:spacing w:line="240" w:lineRule="exact"/>
        <w:jc w:val="center"/>
        <w:rPr>
          <w:rFonts w:ascii="楷体_GB2312" w:hAnsi="宋体" w:eastAsia="楷体_GB2312"/>
          <w:b/>
          <w:bCs/>
          <w:color w:val="000000" w:themeColor="text1"/>
          <w14:textFill>
            <w14:solidFill>
              <w14:schemeClr w14:val="tx1"/>
            </w14:solidFill>
          </w14:textFill>
        </w:rPr>
      </w:pPr>
      <w:r>
        <w:rPr>
          <w:rFonts w:hint="eastAsia" w:ascii="楷体_GB2312" w:hAnsi="宋体" w:eastAsia="楷体_GB2312"/>
          <w:b/>
          <w:bCs/>
          <w:color w:val="000000" w:themeColor="text1"/>
          <w14:textFill>
            <w14:solidFill>
              <w14:schemeClr w14:val="tx1"/>
            </w14:solidFill>
          </w14:textFill>
        </w:rPr>
        <w:t>（项目年份与级别：2019年国家级）</w:t>
      </w:r>
    </w:p>
    <w:p>
      <w:pPr>
        <w:spacing w:line="240" w:lineRule="exact"/>
        <w:rPr>
          <w:rFonts w:ascii="黑体" w:hAnsi="黑体" w:eastAsia="黑体" w:cs="仿宋"/>
          <w:bCs/>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示范县名称：广元市苍溪县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单位：万元</w:t>
      </w:r>
    </w:p>
    <w:tbl>
      <w:tblPr>
        <w:tblStyle w:val="4"/>
        <w:tblW w:w="14425" w:type="dxa"/>
        <w:jc w:val="center"/>
        <w:tblLayout w:type="fixed"/>
        <w:tblCellMar>
          <w:top w:w="0" w:type="dxa"/>
          <w:left w:w="11" w:type="dxa"/>
          <w:bottom w:w="0" w:type="dxa"/>
          <w:right w:w="11" w:type="dxa"/>
        </w:tblCellMar>
      </w:tblPr>
      <w:tblGrid>
        <w:gridCol w:w="500"/>
        <w:gridCol w:w="800"/>
        <w:gridCol w:w="1322"/>
        <w:gridCol w:w="4578"/>
        <w:gridCol w:w="988"/>
        <w:gridCol w:w="709"/>
        <w:gridCol w:w="709"/>
        <w:gridCol w:w="708"/>
        <w:gridCol w:w="709"/>
        <w:gridCol w:w="721"/>
        <w:gridCol w:w="846"/>
        <w:gridCol w:w="1196"/>
        <w:gridCol w:w="639"/>
      </w:tblGrid>
      <w:tr>
        <w:tblPrEx>
          <w:tblCellMar>
            <w:top w:w="0" w:type="dxa"/>
            <w:left w:w="11" w:type="dxa"/>
            <w:bottom w:w="0" w:type="dxa"/>
            <w:right w:w="11" w:type="dxa"/>
          </w:tblCellMar>
        </w:tblPrEx>
        <w:trPr>
          <w:trHeight w:val="495" w:hRule="atLeast"/>
          <w:tblHeader/>
          <w:jc w:val="center"/>
        </w:trPr>
        <w:tc>
          <w:tcPr>
            <w:tcW w:w="5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大类</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子项目名称</w:t>
            </w:r>
          </w:p>
        </w:tc>
        <w:tc>
          <w:tcPr>
            <w:tcW w:w="457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项目建设内容</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项目实施期限</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项目投入金额</w:t>
            </w:r>
          </w:p>
        </w:tc>
        <w:tc>
          <w:tcPr>
            <w:tcW w:w="721"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性质</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承办</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主体</w:t>
            </w:r>
          </w:p>
        </w:tc>
        <w:tc>
          <w:tcPr>
            <w:tcW w:w="1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推进责任</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部</w:t>
            </w:r>
            <w:r>
              <w:rPr>
                <w:rFonts w:hint="eastAsia" w:ascii="宋体" w:hAnsi="宋体"/>
                <w:b/>
                <w:bCs/>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门</w:t>
            </w:r>
          </w:p>
        </w:tc>
        <w:tc>
          <w:tcPr>
            <w:tcW w:w="6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CellMar>
            <w:top w:w="0" w:type="dxa"/>
            <w:left w:w="11" w:type="dxa"/>
            <w:bottom w:w="0" w:type="dxa"/>
            <w:right w:w="11" w:type="dxa"/>
          </w:tblCellMar>
        </w:tblPrEx>
        <w:trPr>
          <w:trHeight w:val="652" w:hRule="atLeast"/>
          <w:tblHeader/>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457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合计</w:t>
            </w:r>
          </w:p>
        </w:tc>
        <w:tc>
          <w:tcPr>
            <w:tcW w:w="709"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企业</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自筹</w:t>
            </w:r>
          </w:p>
        </w:tc>
        <w:tc>
          <w:tcPr>
            <w:tcW w:w="708"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中央</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资金</w:t>
            </w:r>
          </w:p>
        </w:tc>
        <w:tc>
          <w:tcPr>
            <w:tcW w:w="709"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地方</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资金</w:t>
            </w:r>
          </w:p>
        </w:tc>
        <w:tc>
          <w:tcPr>
            <w:tcW w:w="721" w:type="dxa"/>
            <w:vMerge w:val="continue"/>
            <w:tcBorders>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19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农村流通基础设施</w:t>
            </w: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智慧共享农</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产品供应中</w:t>
            </w:r>
          </w:p>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心建设</w:t>
            </w:r>
          </w:p>
        </w:tc>
        <w:tc>
          <w:tcPr>
            <w:tcW w:w="4578"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建设5个智慧共享农产品供应中心。单个供应中心场地面积不低于</w:t>
            </w:r>
            <w:r>
              <w:rPr>
                <w:rFonts w:ascii="宋体" w:hAnsi="宋体"/>
                <w:color w:val="000000" w:themeColor="text1"/>
                <w:szCs w:val="21"/>
                <w14:textFill>
                  <w14:solidFill>
                    <w14:schemeClr w14:val="tx1"/>
                  </w14:solidFill>
                </w14:textFill>
              </w:rPr>
              <w:t>800</w:t>
            </w:r>
            <w:r>
              <w:rPr>
                <w:rFonts w:hint="eastAsia" w:ascii="宋体" w:hAnsi="宋体"/>
                <w:color w:val="000000" w:themeColor="text1"/>
                <w:szCs w:val="21"/>
                <w14:textFill>
                  <w14:solidFill>
                    <w14:schemeClr w14:val="tx1"/>
                  </w14:solidFill>
                </w14:textFill>
              </w:rPr>
              <w:t>平方米，建设</w:t>
            </w:r>
            <w:r>
              <w:rPr>
                <w:rFonts w:hint="eastAsia" w:ascii="宋体" w:hAnsi="宋体"/>
                <w:color w:val="000000" w:themeColor="text1"/>
                <w:szCs w:val="21"/>
                <w:lang w:val="en-US" w:eastAsia="zh-CN"/>
                <w14:textFill>
                  <w14:solidFill>
                    <w14:schemeClr w14:val="tx1"/>
                  </w14:solidFill>
                </w14:textFill>
              </w:rPr>
              <w:t>气调库、</w:t>
            </w:r>
            <w:r>
              <w:rPr>
                <w:rFonts w:hint="eastAsia" w:ascii="宋体" w:hAnsi="宋体"/>
                <w:color w:val="000000" w:themeColor="text1"/>
                <w:szCs w:val="21"/>
                <w14:textFill>
                  <w14:solidFill>
                    <w14:schemeClr w14:val="tx1"/>
                  </w14:solidFill>
                </w14:textFill>
              </w:rPr>
              <w:t>冷藏库、预冷初加工库等冷链仓库，</w:t>
            </w:r>
            <w:r>
              <w:rPr>
                <w:rFonts w:hint="eastAsia" w:ascii="宋体" w:hAnsi="宋体"/>
                <w:bCs/>
                <w:color w:val="000000" w:themeColor="text1"/>
                <w:szCs w:val="21"/>
                <w14:textFill>
                  <w14:solidFill>
                    <w14:schemeClr w14:val="tx1"/>
                  </w14:solidFill>
                </w14:textFill>
              </w:rPr>
              <w:t>配置智能分拣线、自动包装机、真空包装机、</w:t>
            </w:r>
            <w:r>
              <w:rPr>
                <w:rFonts w:ascii="宋体" w:hAnsi="宋体"/>
                <w:color w:val="000000" w:themeColor="text1"/>
                <w:szCs w:val="21"/>
                <w14:textFill>
                  <w14:solidFill>
                    <w14:schemeClr w14:val="tx1"/>
                  </w14:solidFill>
                </w14:textFill>
              </w:rPr>
              <w:t>移动式冷链</w:t>
            </w:r>
            <w:r>
              <w:rPr>
                <w:rFonts w:hint="eastAsia" w:ascii="宋体" w:hAnsi="宋体"/>
                <w:color w:val="000000" w:themeColor="text1"/>
                <w:szCs w:val="21"/>
                <w14:textFill>
                  <w14:solidFill>
                    <w14:schemeClr w14:val="tx1"/>
                  </w14:solidFill>
                </w14:textFill>
              </w:rPr>
              <w:t>箱</w:t>
            </w:r>
            <w:r>
              <w:rPr>
                <w:rFonts w:hint="eastAsia" w:ascii="宋体" w:hAnsi="宋体"/>
                <w:bCs/>
                <w:color w:val="000000" w:themeColor="text1"/>
                <w:szCs w:val="21"/>
                <w14:textFill>
                  <w14:solidFill>
                    <w14:schemeClr w14:val="tx1"/>
                  </w14:solidFill>
                </w14:textFill>
              </w:rPr>
              <w:t>等设备，形成电商产品标准化供应中心，提供产品标准化供应及包装服务。</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5</w:t>
            </w:r>
            <w:r>
              <w:rPr>
                <w:rFonts w:hint="eastAsia" w:ascii="宋体" w:hAnsi="宋体"/>
                <w:bCs/>
                <w:color w:val="000000" w:themeColor="text1"/>
                <w:szCs w:val="21"/>
                <w:lang w:val="en-US" w:eastAsia="zh-CN"/>
                <w14:textFill>
                  <w14:solidFill>
                    <w14:schemeClr w14:val="tx1"/>
                  </w14:solidFill>
                </w14:textFill>
              </w:rPr>
              <w:t>50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30</w:t>
            </w:r>
            <w:r>
              <w:rPr>
                <w:rFonts w:ascii="宋体" w:hAnsi="宋体"/>
                <w:bCs/>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250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pacing w:val="-11"/>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17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扶贫产品互联网品牌建设</w:t>
            </w:r>
          </w:p>
        </w:tc>
        <w:tc>
          <w:tcPr>
            <w:tcW w:w="4578"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以苍溪红心猕猴桃为核心，建立1个区域电商公共品牌，培育8个本土电商扶贫品牌产品</w:t>
            </w:r>
            <w:r>
              <w:rPr>
                <w:rFonts w:hint="eastAsia" w:ascii="宋体" w:hAnsi="宋体"/>
                <w:bCs/>
                <w:color w:val="000000" w:themeColor="text1"/>
                <w:szCs w:val="21"/>
                <w14:textFill>
                  <w14:solidFill>
                    <w14:schemeClr w14:val="tx1"/>
                  </w14:solidFill>
                </w14:textFill>
              </w:rPr>
              <w:t>（不含“岫云村”特色品牌），完成“1+N”的品牌布局。支持公共品牌</w:t>
            </w:r>
            <w:r>
              <w:rPr>
                <w:rFonts w:hint="eastAsia" w:ascii="宋体" w:hAnsi="宋体"/>
                <w:color w:val="000000" w:themeColor="text1"/>
                <w:szCs w:val="21"/>
                <w14:textFill>
                  <w14:solidFill>
                    <w14:schemeClr w14:val="tx1"/>
                  </w14:solidFill>
                </w14:textFill>
              </w:rPr>
              <w:t>及本土互联网品牌开展商标注册、包装设计及制作、营销推广等。</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非硬件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1"/>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212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扶贫产品市场渠道拓展</w:t>
            </w:r>
          </w:p>
        </w:tc>
        <w:tc>
          <w:tcPr>
            <w:tcW w:w="45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开展4场产销对接活动，</w:t>
            </w:r>
            <w:r>
              <w:rPr>
                <w:rFonts w:ascii="宋体" w:hAnsi="宋体"/>
                <w:bCs/>
                <w:color w:val="000000" w:themeColor="text1"/>
                <w:szCs w:val="21"/>
                <w14:textFill>
                  <w14:solidFill>
                    <w14:schemeClr w14:val="tx1"/>
                  </w14:solidFill>
                </w14:textFill>
              </w:rPr>
              <w:t>建立</w:t>
            </w: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个社区电商</w:t>
            </w:r>
            <w:r>
              <w:rPr>
                <w:rFonts w:hint="eastAsia" w:ascii="宋体" w:hAnsi="宋体"/>
                <w:bCs/>
                <w:color w:val="000000" w:themeColor="text1"/>
                <w:szCs w:val="21"/>
                <w14:textFill>
                  <w14:solidFill>
                    <w14:schemeClr w14:val="tx1"/>
                  </w14:solidFill>
                </w14:textFill>
              </w:rPr>
              <w:t>新零售</w:t>
            </w:r>
            <w:r>
              <w:rPr>
                <w:rFonts w:ascii="宋体" w:hAnsi="宋体"/>
                <w:bCs/>
                <w:color w:val="000000" w:themeColor="text1"/>
                <w:szCs w:val="21"/>
                <w14:textFill>
                  <w14:solidFill>
                    <w14:schemeClr w14:val="tx1"/>
                  </w14:solidFill>
                </w14:textFill>
              </w:rPr>
              <w:t>O2O体验店，</w:t>
            </w:r>
            <w:r>
              <w:rPr>
                <w:rFonts w:hint="eastAsia" w:ascii="宋体" w:hAnsi="宋体"/>
                <w:bCs/>
                <w:color w:val="000000" w:themeColor="text1"/>
                <w:szCs w:val="21"/>
                <w:lang w:eastAsia="zh-CN"/>
                <w14:textFill>
                  <w14:solidFill>
                    <w14:schemeClr w14:val="tx1"/>
                  </w14:solidFill>
                </w14:textFill>
              </w:rPr>
              <w:t>改造苍溪农特产品特色商业街</w:t>
            </w:r>
            <w:r>
              <w:rPr>
                <w:rFonts w:hint="eastAsia" w:ascii="宋体" w:hAnsi="宋体"/>
                <w:bCs/>
                <w:color w:val="000000" w:themeColor="text1"/>
                <w:szCs w:val="21"/>
                <w14:textFill>
                  <w14:solidFill>
                    <w14:schemeClr w14:val="tx1"/>
                  </w14:solidFill>
                </w14:textFill>
              </w:rPr>
              <w:t>；引导3家传统商超升级改造，建立扶贫产品展销专区及线上购物渠道；升级改造3个主要农贸市场，融入线上服务功能，实</w:t>
            </w:r>
            <w:r>
              <w:rPr>
                <w:rFonts w:ascii="宋体" w:hAnsi="宋体"/>
                <w:bCs/>
                <w:color w:val="000000" w:themeColor="text1"/>
                <w:szCs w:val="21"/>
                <w14:textFill>
                  <w14:solidFill>
                    <w14:schemeClr w14:val="tx1"/>
                  </w14:solidFill>
                </w14:textFill>
              </w:rPr>
              <w:t>现</w:t>
            </w:r>
            <w:r>
              <w:rPr>
                <w:rFonts w:hint="eastAsia" w:ascii="宋体" w:hAnsi="宋体"/>
                <w:bCs/>
                <w:color w:val="000000" w:themeColor="text1"/>
                <w:szCs w:val="21"/>
                <w14:textFill>
                  <w14:solidFill>
                    <w14:schemeClr w14:val="tx1"/>
                  </w14:solidFill>
                </w14:textFill>
              </w:rPr>
              <w:t>扶贫产品</w:t>
            </w:r>
            <w:r>
              <w:rPr>
                <w:rFonts w:ascii="宋体" w:hAnsi="宋体"/>
                <w:bCs/>
                <w:color w:val="000000" w:themeColor="text1"/>
                <w:szCs w:val="21"/>
                <w14:textFill>
                  <w14:solidFill>
                    <w14:schemeClr w14:val="tx1"/>
                  </w14:solidFill>
                </w14:textFill>
              </w:rPr>
              <w:t>产地直供</w:t>
            </w:r>
            <w:r>
              <w:rPr>
                <w:rFonts w:hint="eastAsia" w:ascii="宋体" w:hAnsi="宋体"/>
                <w:bCs/>
                <w:color w:val="000000" w:themeColor="text1"/>
                <w:szCs w:val="21"/>
                <w14:textFill>
                  <w14:solidFill>
                    <w14:schemeClr w14:val="tx1"/>
                  </w14:solidFill>
                </w14:textFill>
              </w:rPr>
              <w:t>、就近分销</w:t>
            </w:r>
            <w:r>
              <w:rPr>
                <w:rFonts w:ascii="宋体" w:hAnsi="宋体"/>
                <w:bCs/>
                <w:color w:val="000000" w:themeColor="text1"/>
                <w:szCs w:val="21"/>
                <w14:textFill>
                  <w14:solidFill>
                    <w14:schemeClr w14:val="tx1"/>
                  </w14:solidFill>
                </w14:textFill>
              </w:rPr>
              <w:t>、社区配送</w:t>
            </w:r>
            <w:r>
              <w:rPr>
                <w:rFonts w:hint="eastAsia" w:ascii="宋体" w:hAnsi="宋体"/>
                <w:bCs/>
                <w:color w:val="000000" w:themeColor="text1"/>
                <w:szCs w:val="21"/>
                <w14:textFill>
                  <w14:solidFill>
                    <w14:schemeClr w14:val="tx1"/>
                  </w14:solidFill>
                </w14:textFill>
              </w:rPr>
              <w:t>等</w:t>
            </w:r>
            <w:r>
              <w:rPr>
                <w:rFonts w:ascii="宋体" w:hAnsi="宋体"/>
                <w:bCs/>
                <w:color w:val="000000" w:themeColor="text1"/>
                <w:szCs w:val="21"/>
                <w14:textFill>
                  <w14:solidFill>
                    <w14:schemeClr w14:val="tx1"/>
                  </w14:solidFill>
                </w14:textFill>
              </w:rPr>
              <w:t>功能。</w:t>
            </w:r>
            <w:r>
              <w:rPr>
                <w:rFonts w:hint="eastAsia" w:ascii="宋体" w:hAnsi="宋体"/>
                <w:bCs/>
                <w:color w:val="000000" w:themeColor="text1"/>
                <w:szCs w:val="21"/>
                <w14:textFill>
                  <w14:solidFill>
                    <w14:schemeClr w14:val="tx1"/>
                  </w14:solidFill>
                </w14:textFill>
              </w:rPr>
              <w:t>积极开展市场推广及渠道建设。</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350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350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1"/>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23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电子商务乡村振兴示范工程</w:t>
            </w:r>
          </w:p>
        </w:tc>
        <w:tc>
          <w:tcPr>
            <w:tcW w:w="4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白驿镇“岫云村”特色农产品品牌打造为核心，在岫云村建立农产品溯源体系和完善示范基地冷链及初加工基础设施。应用RFID溯源技术，实现一物一码、数据实时入网、信息共享，同时利用大数据平台对农户信息、生产信息、流通信息进行集中展示、统一管理</w:t>
            </w:r>
            <w:r>
              <w:rPr>
                <w:rFonts w:hint="eastAsia" w:ascii="宋体" w:hAnsi="宋体"/>
                <w:color w:val="000000" w:themeColor="text1"/>
                <w:szCs w:val="21"/>
                <w:lang w:eastAsia="zh-CN"/>
                <w14:textFill>
                  <w14:solidFill>
                    <w14:schemeClr w14:val="tx1"/>
                  </w14:solidFill>
                </w14:textFill>
              </w:rPr>
              <w:t>；打造</w:t>
            </w:r>
            <w:r>
              <w:rPr>
                <w:rFonts w:hint="default"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个直播间，购置直播设施设备；</w:t>
            </w:r>
            <w:r>
              <w:rPr>
                <w:rFonts w:hint="eastAsia" w:ascii="宋体" w:hAnsi="宋体"/>
                <w:color w:val="000000" w:themeColor="text1"/>
                <w:szCs w:val="21"/>
                <w14:textFill>
                  <w14:solidFill>
                    <w14:schemeClr w14:val="tx1"/>
                  </w14:solidFill>
                </w14:textFill>
              </w:rPr>
              <w:t>建设仓储流通中心1个（含建300吨冻库及购置相关设备、配套冷藏车1辆、电动叉车1台）。</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outlineLvl w:val="9"/>
              <w:rPr>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白驿镇人民政府、</w:t>
            </w:r>
            <w:r>
              <w:rPr>
                <w:rFonts w:hint="eastAsia" w:ascii="宋体" w:hAnsi="宋体"/>
                <w:color w:val="000000" w:themeColor="text1"/>
                <w:szCs w:val="21"/>
                <w14:textFill>
                  <w14:solidFill>
                    <w14:schemeClr w14:val="tx1"/>
                  </w14:solidFill>
                </w14:textFill>
              </w:rPr>
              <w:t>县商务和经济合作局、县财政局、</w:t>
            </w:r>
            <w:r>
              <w:rPr>
                <w:rFonts w:hint="eastAsia" w:ascii="宋体" w:hAnsi="宋体"/>
                <w:color w:val="000000" w:themeColor="text1"/>
                <w:spacing w:val="-11"/>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智慧物流综合配送体系升级改造</w:t>
            </w:r>
          </w:p>
        </w:tc>
        <w:tc>
          <w:tcPr>
            <w:tcW w:w="4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培育县域快递物流龙头企业，进一步整合县内快递、邮政等物流资源，优化线路配置，发展城乡配送连锁经营模式；培育农村物流配送骨干企业，鼓励实体商业和电商快递的物流协同</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推动商流物流统仓共配，降低农村物流成本。完善物流中心设备</w:t>
            </w:r>
            <w:r>
              <w:rPr>
                <w:rFonts w:hint="eastAsia"/>
                <w:color w:val="000000" w:themeColor="text1"/>
                <w:szCs w:val="21"/>
                <w:lang w:eastAsia="zh-CN"/>
                <w14:textFill>
                  <w14:solidFill>
                    <w14:schemeClr w14:val="tx1"/>
                  </w14:solidFill>
                </w14:textFill>
              </w:rPr>
              <w:t>、物流运输车辆</w:t>
            </w:r>
            <w:r>
              <w:rPr>
                <w:rFonts w:hint="eastAsia"/>
                <w:color w:val="000000" w:themeColor="text1"/>
                <w:szCs w:val="21"/>
                <w14:textFill>
                  <w14:solidFill>
                    <w14:schemeClr w14:val="tx1"/>
                  </w14:solidFill>
                </w14:textFill>
              </w:rPr>
              <w:t>配置及物流信息化管理系统，采取智能化手段，对县、乡、村</w:t>
            </w:r>
            <w:r>
              <w:rPr>
                <w:rFonts w:hint="eastAsia"/>
                <w:color w:val="000000" w:themeColor="text1"/>
                <w:szCs w:val="21"/>
                <w:lang w:eastAsia="zh-CN"/>
                <w14:textFill>
                  <w14:solidFill>
                    <w14:schemeClr w14:val="tx1"/>
                  </w14:solidFill>
                </w14:textFill>
              </w:rPr>
              <w:t>三级物流配送点</w:t>
            </w:r>
            <w:r>
              <w:rPr>
                <w:rFonts w:hint="eastAsia"/>
                <w:color w:val="000000" w:themeColor="text1"/>
                <w:szCs w:val="21"/>
                <w14:textFill>
                  <w14:solidFill>
                    <w14:schemeClr w14:val="tx1"/>
                  </w14:solidFill>
                </w14:textFill>
              </w:rPr>
              <w:t>进行智慧化管理。升级改造2000平方米的县级电商物流中心，提升物流中心的标准化、规范化、规模化水平。</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Cs/>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80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c>
          <w:tcPr>
            <w:tcW w:w="70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230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1"/>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246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color w:val="auto"/>
                <w:szCs w:val="21"/>
              </w:rPr>
              <w:t>农村电商公共服务体系</w:t>
            </w: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bCs/>
                <w:color w:val="auto"/>
                <w:szCs w:val="21"/>
              </w:rPr>
              <w:t>扶贫产品（农产品）营销中心建设及运营管理</w:t>
            </w:r>
          </w:p>
        </w:tc>
        <w:tc>
          <w:tcPr>
            <w:tcW w:w="4578"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Cs w:val="21"/>
              </w:rPr>
            </w:pPr>
            <w:r>
              <w:rPr>
                <w:rFonts w:hint="eastAsia" w:ascii="宋体" w:hAnsi="宋体"/>
                <w:bCs/>
                <w:color w:val="auto"/>
                <w:szCs w:val="21"/>
              </w:rPr>
              <w:t>奖补苍溪县</w:t>
            </w:r>
            <w:r>
              <w:rPr>
                <w:rFonts w:ascii="宋体" w:hAnsi="宋体"/>
                <w:bCs/>
                <w:color w:val="auto"/>
                <w:szCs w:val="21"/>
              </w:rPr>
              <w:t>扶贫产品营销</w:t>
            </w:r>
            <w:r>
              <w:rPr>
                <w:rFonts w:hint="eastAsia" w:ascii="宋体" w:hAnsi="宋体"/>
                <w:bCs/>
                <w:color w:val="auto"/>
                <w:szCs w:val="21"/>
                <w:lang w:eastAsia="zh-CN"/>
              </w:rPr>
              <w:t>服务</w:t>
            </w:r>
            <w:r>
              <w:rPr>
                <w:rFonts w:ascii="宋体" w:hAnsi="宋体"/>
                <w:bCs/>
                <w:color w:val="auto"/>
                <w:szCs w:val="21"/>
              </w:rPr>
              <w:t>中心</w:t>
            </w:r>
            <w:r>
              <w:rPr>
                <w:rFonts w:hint="eastAsia" w:ascii="宋体" w:hAnsi="宋体"/>
                <w:bCs/>
                <w:color w:val="auto"/>
                <w:szCs w:val="21"/>
              </w:rPr>
              <w:t>的装修及软硬件建设投入。建立苍溪红心猕猴桃标准化生产、标准化供应、标准化销售的专业供应链体系</w:t>
            </w:r>
            <w:r>
              <w:rPr>
                <w:rFonts w:hint="eastAsia" w:ascii="宋体" w:hAnsi="宋体"/>
                <w:bCs/>
                <w:color w:val="auto"/>
                <w:szCs w:val="21"/>
                <w:lang w:eastAsia="zh-CN"/>
              </w:rPr>
              <w:t>；</w:t>
            </w:r>
            <w:r>
              <w:rPr>
                <w:rFonts w:hint="eastAsia" w:ascii="宋体" w:hAnsi="宋体"/>
                <w:bCs/>
                <w:color w:val="auto"/>
                <w:szCs w:val="21"/>
              </w:rPr>
              <w:t>带动苍溪雪梨等8个特色优势扶贫产品，完善流通标准并形成标准化供应链；奖补主体负责建立扶贫产品供需信息系统，完善小散非标农村产品供应机制</w:t>
            </w:r>
            <w:r>
              <w:rPr>
                <w:rFonts w:ascii="宋体" w:hAnsi="宋体"/>
                <w:bCs/>
                <w:color w:val="auto"/>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19</w:t>
            </w: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w:t>
            </w:r>
          </w:p>
          <w:p>
            <w:pPr>
              <w:jc w:val="center"/>
              <w:rPr>
                <w:rFonts w:ascii="宋体" w:hAnsi="宋体"/>
                <w:bCs/>
                <w:color w:val="auto"/>
                <w:szCs w:val="21"/>
              </w:rPr>
            </w:pPr>
            <w:r>
              <w:rPr>
                <w:rFonts w:hint="eastAsia" w:ascii="宋体" w:hAnsi="宋体"/>
                <w:color w:val="auto"/>
                <w:szCs w:val="21"/>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bCs/>
                <w:color w:val="auto"/>
                <w:szCs w:val="21"/>
              </w:rPr>
              <w:t>200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bCs/>
                <w:color w:val="auto"/>
                <w:szCs w:val="21"/>
              </w:rPr>
              <w:t>0</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bCs/>
                <w:color w:val="auto"/>
                <w:szCs w:val="21"/>
              </w:rPr>
              <w:t>200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bCs/>
                <w:color w:val="auto"/>
                <w:szCs w:val="21"/>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硬件</w:t>
            </w:r>
          </w:p>
          <w:p>
            <w:pPr>
              <w:jc w:val="center"/>
              <w:rPr>
                <w:rFonts w:ascii="宋体" w:hAnsi="宋体"/>
                <w:color w:val="auto"/>
                <w:szCs w:val="21"/>
              </w:rPr>
            </w:pPr>
            <w:r>
              <w:rPr>
                <w:rFonts w:hint="eastAsia" w:ascii="宋体" w:hAnsi="宋体"/>
                <w:color w:val="auto"/>
                <w:szCs w:val="21"/>
              </w:rPr>
              <w:t>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Cs w:val="21"/>
              </w:rPr>
            </w:pPr>
            <w:r>
              <w:rPr>
                <w:rFonts w:hint="eastAsia" w:ascii="宋体" w:hAnsi="宋体"/>
                <w:bCs/>
                <w:color w:val="auto"/>
                <w:szCs w:val="21"/>
              </w:rPr>
              <w:t>县政府研究决定</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auto"/>
                <w:szCs w:val="21"/>
              </w:rPr>
            </w:pPr>
            <w:r>
              <w:rPr>
                <w:rFonts w:hint="eastAsia" w:ascii="宋体" w:hAnsi="宋体"/>
                <w:color w:val="auto"/>
                <w:szCs w:val="21"/>
              </w:rPr>
              <w:t>县商务和经济合作局、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auto"/>
                <w:szCs w:val="21"/>
              </w:rPr>
            </w:pPr>
            <w:r>
              <w:rPr>
                <w:rFonts w:hint="eastAsia" w:ascii="宋体" w:hAnsi="宋体"/>
                <w:color w:val="auto"/>
                <w:szCs w:val="21"/>
              </w:rPr>
              <w:t>县财政局、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color w:val="auto"/>
              </w:rPr>
            </w:pPr>
            <w:r>
              <w:rPr>
                <w:rFonts w:hint="eastAsia" w:ascii="宋体" w:hAnsi="宋体"/>
                <w:color w:val="auto"/>
                <w:szCs w:val="21"/>
              </w:rPr>
              <w:t>县审计局</w:t>
            </w: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宋体" w:hAnsi="宋体" w:eastAsia="宋体"/>
                <w:bCs/>
                <w:color w:val="auto"/>
                <w:sz w:val="15"/>
                <w:szCs w:val="15"/>
                <w:lang w:val="en-US" w:eastAsia="zh-CN"/>
              </w:rPr>
            </w:pPr>
          </w:p>
        </w:tc>
      </w:tr>
      <w:tr>
        <w:tblPrEx>
          <w:tblCellMar>
            <w:top w:w="0" w:type="dxa"/>
            <w:left w:w="11" w:type="dxa"/>
            <w:bottom w:w="0" w:type="dxa"/>
            <w:right w:w="11" w:type="dxa"/>
          </w:tblCellMar>
        </w:tblPrEx>
        <w:trPr>
          <w:trHeight w:val="215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电商公共服务中心运营管理及升级改造</w:t>
            </w:r>
          </w:p>
        </w:tc>
        <w:tc>
          <w:tcPr>
            <w:tcW w:w="4578"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继续做好县级电商公共服务中心运营管理，</w:t>
            </w:r>
            <w:r>
              <w:rPr>
                <w:rFonts w:hint="eastAsia" w:ascii="宋体" w:hAnsi="宋体"/>
                <w:color w:val="000000" w:themeColor="text1"/>
                <w:szCs w:val="21"/>
                <w:lang w:val="en-US" w:eastAsia="zh-CN"/>
                <w14:textFill>
                  <w14:solidFill>
                    <w14:schemeClr w14:val="tx1"/>
                  </w14:solidFill>
                </w14:textFill>
              </w:rPr>
              <w:t>确保中心正常运营5年以上，</w:t>
            </w:r>
            <w:r>
              <w:rPr>
                <w:rFonts w:hint="eastAsia" w:ascii="宋体" w:hAnsi="宋体"/>
                <w:color w:val="000000" w:themeColor="text1"/>
                <w:szCs w:val="21"/>
                <w14:textFill>
                  <w14:solidFill>
                    <w14:schemeClr w14:val="tx1"/>
                  </w14:solidFill>
                </w14:textFill>
              </w:rPr>
              <w:t>强化电商企业孵化入驻服务，完善电子商务大数据管理体系，新增直播区等功能板块，打造</w:t>
            </w:r>
            <w:r>
              <w:rPr>
                <w:rFonts w:hint="eastAsia" w:ascii="宋体" w:hAnsi="宋体"/>
                <w:color w:val="000000" w:themeColor="text1"/>
                <w:szCs w:val="21"/>
                <w:lang w:eastAsia="zh-CN"/>
                <w14:textFill>
                  <w14:solidFill>
                    <w14:schemeClr w14:val="tx1"/>
                  </w14:solidFill>
                </w14:textFill>
              </w:rPr>
              <w:t>一批</w:t>
            </w:r>
            <w:r>
              <w:rPr>
                <w:rFonts w:hint="eastAsia" w:ascii="宋体" w:hAnsi="宋体"/>
                <w:color w:val="000000" w:themeColor="text1"/>
                <w:szCs w:val="21"/>
                <w14:textFill>
                  <w14:solidFill>
                    <w14:schemeClr w14:val="tx1"/>
                  </w14:solidFill>
                </w14:textFill>
              </w:rPr>
              <w:t>电商网红，通过网上直播、短视频等手段和工具开展线上营销。进一步挖掘新型电商“网红经济”、“新零售”等营销模式并逐步推广。</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Cs/>
                <w:color w:val="000000" w:themeColor="text1"/>
                <w:szCs w:val="21"/>
                <w:lang w:val="en-US" w:eastAsia="zh-CN"/>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lang w:val="en-US" w:eastAsia="zh-CN"/>
                <w14:textFill>
                  <w14:solidFill>
                    <w14:schemeClr w14:val="tx1"/>
                  </w14:solidFill>
                </w14:textFill>
              </w:rPr>
              <w:t>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lang w:val="en-US" w:eastAsia="zh-CN"/>
                <w14:textFill>
                  <w14:solidFill>
                    <w14:schemeClr w14:val="tx1"/>
                  </w14:solidFill>
                </w14:textFill>
              </w:rPr>
              <w:t>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7"/>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根据县委、县政府要求，与扶贫产品（农产品）营销中心合并运营</w:t>
            </w:r>
          </w:p>
        </w:tc>
      </w:tr>
      <w:tr>
        <w:tblPrEx>
          <w:tblCellMar>
            <w:top w:w="0" w:type="dxa"/>
            <w:left w:w="11" w:type="dxa"/>
            <w:bottom w:w="0" w:type="dxa"/>
            <w:right w:w="11"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农村电商网点数字化管理体系建设</w:t>
            </w:r>
          </w:p>
        </w:tc>
        <w:tc>
          <w:tcPr>
            <w:tcW w:w="4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续对已建乡村电商网点进行管理维护，建立电商网点数字化管理系统，以乡村电商服务站点为节点，突出农村电商网点的服务功能，实现农村电商服务全辐射；建立站点考核监督机制，提升站点服务能力，实现站点一件代发、乡村直播等功能。</w:t>
            </w:r>
          </w:p>
        </w:tc>
        <w:tc>
          <w:tcPr>
            <w:tcW w:w="9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7"/>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140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农村电子商务培训</w:t>
            </w: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电商创业从业人才培育</w:t>
            </w:r>
          </w:p>
        </w:tc>
        <w:tc>
          <w:tcPr>
            <w:tcW w:w="4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不低于8人的电商扶贫导师团，通过电商创业专题班、外出学习、企业实操等新型培训方式，开展电商增值培训2000人次以上，培育电商创业人才80名、就业人才300名，培育农村电商村播达人10人，带动20家传统企业实现互联网转型升级。</w:t>
            </w:r>
          </w:p>
        </w:tc>
        <w:tc>
          <w:tcPr>
            <w:tcW w:w="9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2020.5-</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2021.12</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非硬件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公开方式选择</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7"/>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11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pacing w:val="-17"/>
                <w:kern w:val="0"/>
                <w:szCs w:val="21"/>
                <w14:textFill>
                  <w14:solidFill>
                    <w14:schemeClr w14:val="tx1"/>
                  </w14:solidFill>
                </w14:textFill>
              </w:rPr>
              <w:t>农产品电商奖励</w:t>
            </w: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农产品电商奖励项目</w:t>
            </w:r>
          </w:p>
        </w:tc>
        <w:tc>
          <w:tcPr>
            <w:tcW w:w="4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采取以奖代补的方式，对通过互联网销售苍溪农特产品、农产品质量溯源二维码建设、通过电商带动</w:t>
            </w:r>
            <w:r>
              <w:rPr>
                <w:rFonts w:hint="eastAsia" w:ascii="宋体" w:hAnsi="宋体"/>
                <w:color w:val="000000" w:themeColor="text1"/>
                <w:spacing w:val="-6"/>
                <w:szCs w:val="21"/>
                <w14:textFill>
                  <w14:solidFill>
                    <w14:schemeClr w14:val="tx1"/>
                  </w14:solidFill>
                </w14:textFill>
              </w:rPr>
              <w:t>贫困户增收明显的优秀企业、优秀站点等进行奖励。</w:t>
            </w:r>
          </w:p>
        </w:tc>
        <w:tc>
          <w:tcPr>
            <w:tcW w:w="9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.12</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非硬件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公益</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奖励补贴</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县商务和经济合作局、</w:t>
            </w:r>
          </w:p>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spacing w:line="280" w:lineRule="exact"/>
              <w:ind w:left="105" w:leftChars="50"/>
              <w:jc w:val="left"/>
              <w:textAlignment w:val="auto"/>
              <w:outlineLvl w:val="9"/>
              <w:rPr>
                <w:color w:val="000000" w:themeColor="text1"/>
                <w14:textFill>
                  <w14:solidFill>
                    <w14:schemeClr w14:val="tx1"/>
                  </w14:solidFill>
                </w14:textFill>
              </w:rPr>
            </w:pPr>
            <w:r>
              <w:rPr>
                <w:rFonts w:hint="eastAsia" w:ascii="宋体" w:hAnsi="宋体"/>
                <w:color w:val="000000" w:themeColor="text1"/>
                <w:spacing w:val="-17"/>
                <w:szCs w:val="21"/>
                <w14:textFill>
                  <w14:solidFill>
                    <w14:schemeClr w14:val="tx1"/>
                  </w14:solidFill>
                </w14:textFill>
              </w:rPr>
              <w:t>县扶贫开发局</w:t>
            </w:r>
          </w:p>
        </w:tc>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宋体" w:hAnsi="宋体"/>
                <w:bCs/>
                <w:color w:val="000000" w:themeColor="text1"/>
                <w:szCs w:val="21"/>
                <w14:textFill>
                  <w14:solidFill>
                    <w14:schemeClr w14:val="tx1"/>
                  </w14:solidFill>
                </w14:textFill>
              </w:rPr>
            </w:pPr>
          </w:p>
        </w:tc>
      </w:tr>
      <w:tr>
        <w:tblPrEx>
          <w:tblCellMar>
            <w:top w:w="0" w:type="dxa"/>
            <w:left w:w="11" w:type="dxa"/>
            <w:bottom w:w="0" w:type="dxa"/>
            <w:right w:w="11" w:type="dxa"/>
          </w:tblCellMar>
        </w:tblPrEx>
        <w:trPr>
          <w:trHeight w:val="497" w:hRule="atLeast"/>
          <w:jc w:val="center"/>
        </w:trPr>
        <w:tc>
          <w:tcPr>
            <w:tcW w:w="8188"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合</w:t>
            </w:r>
            <w:r>
              <w:rPr>
                <w:rFonts w:hint="eastAsia" w:ascii="宋体" w:hAnsi="宋体"/>
                <w:b w:val="0"/>
                <w:bCs w:val="0"/>
                <w:color w:val="000000" w:themeColor="text1"/>
                <w:szCs w:val="21"/>
                <w:lang w:val="en-US" w:eastAsia="zh-CN"/>
                <w14:textFill>
                  <w14:solidFill>
                    <w14:schemeClr w14:val="tx1"/>
                  </w14:solidFill>
                </w14:textFill>
              </w:rPr>
              <w:t xml:space="preserve">    </w:t>
            </w:r>
            <w:r>
              <w:rPr>
                <w:rFonts w:hint="eastAsia" w:ascii="宋体" w:hAnsi="宋体"/>
                <w:b w:val="0"/>
                <w:bCs w:val="0"/>
                <w:color w:val="000000" w:themeColor="text1"/>
                <w:szCs w:val="21"/>
                <w14:textFill>
                  <w14:solidFill>
                    <w14:schemeClr w14:val="tx1"/>
                  </w14:solidFill>
                </w14:textFill>
              </w:rPr>
              <w:t>计</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2</w:t>
            </w:r>
            <w:r>
              <w:rPr>
                <w:rFonts w:ascii="宋体" w:hAnsi="宋体"/>
                <w:b w:val="0"/>
                <w:bCs w:val="0"/>
                <w:color w:val="000000" w:themeColor="text1"/>
                <w:szCs w:val="21"/>
                <w14:textFill>
                  <w14:solidFill>
                    <w14:schemeClr w14:val="tx1"/>
                  </w14:solidFill>
                </w14:textFill>
              </w:rPr>
              <w:t>3</w:t>
            </w:r>
            <w:r>
              <w:rPr>
                <w:rFonts w:hint="eastAsia" w:ascii="宋体" w:hAnsi="宋体"/>
                <w:b w:val="0"/>
                <w:bCs w:val="0"/>
                <w:color w:val="000000" w:themeColor="text1"/>
                <w:szCs w:val="21"/>
                <w:lang w:val="en-US" w:eastAsia="zh-CN"/>
                <w14:textFill>
                  <w14:solidFill>
                    <w14:schemeClr w14:val="tx1"/>
                  </w14:solidFill>
                </w14:textFill>
              </w:rPr>
              <w:t>5</w:t>
            </w:r>
            <w:r>
              <w:rPr>
                <w:rFonts w:hint="eastAsia" w:ascii="宋体" w:hAnsi="宋体"/>
                <w:b w:val="0"/>
                <w:bCs w:val="0"/>
                <w:color w:val="000000" w:themeColor="text1"/>
                <w:szCs w:val="21"/>
                <w14:textFill>
                  <w14:solidFill>
                    <w14:schemeClr w14:val="tx1"/>
                  </w14:solidFill>
                </w14:textFill>
              </w:rPr>
              <w:t>0</w:t>
            </w:r>
          </w:p>
        </w:tc>
        <w:tc>
          <w:tcPr>
            <w:tcW w:w="709"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b w:val="0"/>
                <w:bCs w:val="0"/>
                <w:color w:val="000000" w:themeColor="text1"/>
                <w:szCs w:val="21"/>
                <w:lang w:val="en-US" w:eastAsia="zh-CN"/>
                <w14:textFill>
                  <w14:solidFill>
                    <w14:schemeClr w14:val="tx1"/>
                  </w14:solidFill>
                </w14:textFill>
              </w:rPr>
            </w:pPr>
            <w:r>
              <w:rPr>
                <w:rFonts w:ascii="宋体" w:hAnsi="宋体"/>
                <w:b w:val="0"/>
                <w:bCs w:val="0"/>
                <w:color w:val="000000" w:themeColor="text1"/>
                <w:szCs w:val="21"/>
                <w14:textFill>
                  <w14:solidFill>
                    <w14:schemeClr w14:val="tx1"/>
                  </w14:solidFill>
                </w14:textFill>
              </w:rPr>
              <w:t>3</w:t>
            </w:r>
            <w:r>
              <w:rPr>
                <w:rFonts w:hint="eastAsia" w:ascii="宋体" w:hAnsi="宋体"/>
                <w:b w:val="0"/>
                <w:bCs w:val="0"/>
                <w:color w:val="000000" w:themeColor="text1"/>
                <w:szCs w:val="21"/>
                <w:lang w:val="en-US" w:eastAsia="zh-CN"/>
                <w14:textFill>
                  <w14:solidFill>
                    <w14:schemeClr w14:val="tx1"/>
                  </w14:solidFill>
                </w14:textFill>
              </w:rPr>
              <w:t>50</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2000</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 w:val="0"/>
                <w:bCs w:val="0"/>
                <w:color w:val="000000" w:themeColor="text1"/>
                <w:szCs w:val="21"/>
                <w14:textFill>
                  <w14:solidFill>
                    <w14:schemeClr w14:val="tx1"/>
                  </w14:solidFill>
                </w14:textFill>
              </w:rPr>
            </w:pPr>
          </w:p>
        </w:tc>
        <w:tc>
          <w:tcPr>
            <w:tcW w:w="721" w:type="dxa"/>
            <w:tcBorders>
              <w:top w:val="single" w:color="auto" w:sz="4" w:space="0"/>
              <w:left w:val="nil"/>
              <w:bottom w:val="single" w:color="auto" w:sz="4" w:space="0"/>
              <w:right w:val="single" w:color="auto" w:sz="4" w:space="0"/>
            </w:tcBorders>
          </w:tcPr>
          <w:p>
            <w:pPr>
              <w:jc w:val="center"/>
              <w:rPr>
                <w:rFonts w:ascii="宋体" w:hAnsi="宋体"/>
                <w:b/>
                <w:bCs/>
                <w:color w:val="000000" w:themeColor="text1"/>
                <w:szCs w:val="21"/>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Cs w:val="21"/>
                <w14:textFill>
                  <w14:solidFill>
                    <w14:schemeClr w14:val="tx1"/>
                  </w14:solidFill>
                </w14:textFill>
              </w:rPr>
            </w:pPr>
          </w:p>
        </w:tc>
      </w:tr>
    </w:tbl>
    <w:p>
      <w:pPr>
        <w:pStyle w:val="6"/>
        <w:rPr>
          <w:rFonts w:ascii="仿宋_GB2312" w:eastAsia="仿宋_GB2312" w:cs="仿宋_GB2312"/>
          <w:color w:val="000000" w:themeColor="text1"/>
          <w:sz w:val="32"/>
          <w:szCs w:val="32"/>
          <w14:textFill>
            <w14:solidFill>
              <w14:schemeClr w14:val="tx1"/>
            </w14:solidFill>
          </w14:textFill>
        </w:rPr>
        <w:sectPr>
          <w:footerReference r:id="rId3" w:type="default"/>
          <w:pgSz w:w="16838" w:h="11900" w:orient="landscape"/>
          <w:pgMar w:top="1587" w:right="1814" w:bottom="1474" w:left="1701" w:header="851" w:footer="1417" w:gutter="0"/>
          <w:pgNumType w:fmt="decimal"/>
          <w:cols w:space="0" w:num="1"/>
          <w:rtlGutter w:val="0"/>
          <w:docGrid w:type="lines" w:linePitch="31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5395F"/>
    <w:rsid w:val="1B45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0"/>
      <w:jc w:val="center"/>
    </w:pPr>
    <w:rPr>
      <w:rFonts w:ascii="Times New Roman" w:hAnsi="Times New Roman" w:eastAsia="黑体" w:cs="Times New Roman"/>
      <w:kern w:val="2"/>
      <w:sz w:val="36"/>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qFormat/>
    <w:uiPriority w:val="0"/>
    <w:pPr>
      <w:widowControl w:val="0"/>
      <w:autoSpaceDE w:val="0"/>
      <w:autoSpaceDN w:val="0"/>
      <w:adjustRightInd w:val="0"/>
    </w:pPr>
    <w:rPr>
      <w:rFonts w:ascii="Calibri"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2021-03-15T09:01:00Z</dcterms:created>
  <dc:creator>youme快乐</dc:creator>
  <cp:lastModifiedBy>youme快乐</cp:lastModifiedBy>
  <dcterms:modified xsi:type="dcterms:W3CDTF">2021-03-15T09:02:25Z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