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pStyle w:val="3"/>
        <w:spacing w:before="0" w:beforeAutospacing="0" w:after="0" w:afterAutospacing="0"/>
        <w:jc w:val="center"/>
        <w:rPr>
          <w:rFonts w:ascii="方正小标宋简体" w:hAnsi="黑体" w:eastAsia="方正小标宋简体" w:cs="Calibri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广元市门诊特殊疾病病种待</w:t>
      </w: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遇认定申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请表</w:t>
      </w:r>
    </w:p>
    <w:tbl>
      <w:tblPr>
        <w:tblStyle w:val="4"/>
        <w:tblpPr w:leftFromText="180" w:rightFromText="180" w:vertAnchor="text" w:horzAnchor="page" w:tblpX="1320" w:tblpY="79"/>
        <w:tblOverlap w:val="never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522"/>
        <w:gridCol w:w="2187"/>
        <w:gridCol w:w="999"/>
        <w:gridCol w:w="676"/>
        <w:gridCol w:w="1425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7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姓名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cs="方正仿宋_GBK"/>
                <w:sz w:val="21"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性别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cs="方正仿宋_GBK"/>
                <w:sz w:val="21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身份证号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579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ascii="仿宋_GB2312" w:eastAsia="仿宋_GB2312" w:cs="方正仿宋_GBK"/>
                <w:sz w:val="21"/>
                <w:szCs w:val="21"/>
              </w:rPr>
              <w:t>□</w:t>
            </w:r>
            <w:r>
              <w:rPr>
                <w:rFonts w:hint="eastAsia" w:cs="方正仿宋_GBK"/>
                <w:sz w:val="21"/>
                <w:szCs w:val="21"/>
              </w:rPr>
              <w:t xml:space="preserve">职工医保   </w:t>
            </w:r>
            <w:r>
              <w:rPr>
                <w:rFonts w:hint="eastAsia" w:ascii="仿宋_GB2312" w:eastAsia="仿宋_GB2312" w:cs="方正仿宋_GBK"/>
                <w:sz w:val="21"/>
                <w:szCs w:val="21"/>
              </w:rPr>
              <w:t>□</w:t>
            </w:r>
            <w:r>
              <w:rPr>
                <w:rFonts w:hint="eastAsia" w:cs="方正仿宋_GBK"/>
                <w:sz w:val="21"/>
                <w:szCs w:val="21"/>
              </w:rPr>
              <w:t>居民医保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联系电话</w:t>
            </w:r>
          </w:p>
        </w:tc>
        <w:tc>
          <w:tcPr>
            <w:tcW w:w="4251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392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申报病名</w:t>
            </w:r>
          </w:p>
        </w:tc>
        <w:tc>
          <w:tcPr>
            <w:tcW w:w="8112" w:type="dxa"/>
            <w:gridSpan w:val="5"/>
            <w:noWrap w:val="0"/>
            <w:vAlign w:val="center"/>
          </w:tcPr>
          <w:p>
            <w:pPr>
              <w:pStyle w:val="3"/>
              <w:jc w:val="both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（病种名称见本表背面）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92" w:type="dxa"/>
            <w:gridSpan w:val="2"/>
            <w:vMerge w:val="restart"/>
            <w:noWrap w:val="0"/>
            <w:vAlign w:val="center"/>
          </w:tcPr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申报资料</w:t>
            </w:r>
          </w:p>
        </w:tc>
        <w:tc>
          <w:tcPr>
            <w:tcW w:w="8112" w:type="dxa"/>
            <w:gridSpan w:val="5"/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ascii="仿宋_GB2312" w:eastAsia="仿宋_GB2312" w:cs="方正仿宋_GBK"/>
                <w:sz w:val="21"/>
                <w:szCs w:val="21"/>
              </w:rPr>
              <w:t>□</w:t>
            </w:r>
            <w:r>
              <w:rPr>
                <w:rFonts w:hint="eastAsia" w:cs="方正仿宋_GBK"/>
                <w:sz w:val="21"/>
                <w:szCs w:val="21"/>
              </w:rPr>
              <w:t xml:space="preserve">1. 检查报告    </w:t>
            </w:r>
            <w:r>
              <w:rPr>
                <w:rFonts w:hint="eastAsia" w:ascii="仿宋_GB2312" w:eastAsia="仿宋_GB2312" w:cs="方正仿宋_GBK"/>
                <w:sz w:val="21"/>
                <w:szCs w:val="21"/>
              </w:rPr>
              <w:t>□</w:t>
            </w:r>
            <w:r>
              <w:rPr>
                <w:rFonts w:hint="eastAsia" w:cs="方正仿宋_GBK"/>
                <w:sz w:val="21"/>
                <w:szCs w:val="21"/>
              </w:rPr>
              <w:t xml:space="preserve">2. 检验报告    </w:t>
            </w:r>
            <w:r>
              <w:rPr>
                <w:rFonts w:hint="eastAsia" w:ascii="仿宋_GB2312" w:eastAsia="仿宋_GB2312" w:cs="方正仿宋_GBK"/>
                <w:sz w:val="21"/>
                <w:szCs w:val="21"/>
              </w:rPr>
              <w:t>□</w:t>
            </w:r>
            <w:r>
              <w:rPr>
                <w:rFonts w:hint="eastAsia" w:cs="方正仿宋_GBK"/>
                <w:sz w:val="21"/>
                <w:szCs w:val="21"/>
              </w:rPr>
              <w:t>3. 住院病历</w:t>
            </w:r>
            <w:r>
              <w:rPr>
                <w:rFonts w:hint="eastAsia" w:cs="方正仿宋_GBK"/>
                <w:color w:val="FF000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eastAsia="仿宋_GB2312" w:cs="方正仿宋_GBK"/>
                <w:sz w:val="21"/>
                <w:szCs w:val="21"/>
              </w:rPr>
              <w:t>□</w:t>
            </w:r>
            <w:r>
              <w:rPr>
                <w:rFonts w:hint="eastAsia" w:cs="方正仿宋_GBK"/>
                <w:sz w:val="21"/>
                <w:szCs w:val="21"/>
              </w:rPr>
              <w:t xml:space="preserve">5. 门诊病历  </w:t>
            </w:r>
          </w:p>
          <w:p>
            <w:pPr>
              <w:pStyle w:val="3"/>
              <w:spacing w:before="0" w:beforeAutospacing="0" w:after="0" w:afterAutospacing="0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ascii="仿宋_GB2312" w:eastAsia="仿宋_GB2312" w:cs="方正仿宋_GBK"/>
                <w:sz w:val="21"/>
                <w:szCs w:val="21"/>
              </w:rPr>
              <w:t>□</w:t>
            </w:r>
            <w:r>
              <w:rPr>
                <w:rFonts w:hint="eastAsia" w:cs="方正仿宋_GBK"/>
                <w:sz w:val="21"/>
                <w:szCs w:val="21"/>
              </w:rPr>
              <w:t xml:space="preserve">4. 诊断证明或出院证明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92" w:type="dxa"/>
            <w:gridSpan w:val="2"/>
            <w:vMerge w:val="continue"/>
            <w:noWrap w:val="0"/>
            <w:vAlign w:val="center"/>
          </w:tcPr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</w:p>
        </w:tc>
        <w:tc>
          <w:tcPr>
            <w:tcW w:w="8112" w:type="dxa"/>
            <w:gridSpan w:val="5"/>
            <w:noWrap w:val="0"/>
            <w:vAlign w:val="center"/>
          </w:tcPr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申请人承诺：我所提供的身份信息及申报资料真实，如有虚假，承担一切法律责任。（将此内容抄写一遍）</w:t>
            </w:r>
          </w:p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 xml:space="preserve">                                申请人签名：            时间：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505" w:type="dxa"/>
            <w:gridSpan w:val="7"/>
            <w:noWrap w:val="0"/>
            <w:vAlign w:val="center"/>
          </w:tcPr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认定情况(主要填写作出认定结论的理由)：</w:t>
            </w:r>
          </w:p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</w:p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 xml:space="preserve">                   </w:t>
            </w:r>
          </w:p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</w:p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</w:p>
          <w:p>
            <w:pPr>
              <w:pStyle w:val="3"/>
              <w:ind w:firstLine="4830" w:firstLineChars="2300"/>
              <w:rPr>
                <w:rFonts w:hint="eastAsia" w:cs="方正仿宋_GBK"/>
                <w:color w:val="FF0000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认定人员：           时间：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505" w:type="dxa"/>
            <w:gridSpan w:val="7"/>
            <w:noWrap w:val="0"/>
            <w:vAlign w:val="center"/>
          </w:tcPr>
          <w:p>
            <w:pPr>
              <w:pStyle w:val="3"/>
              <w:rPr>
                <w:rFonts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认定结论（填写病种名称）:</w:t>
            </w:r>
          </w:p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________________________________符合认定标准，可以享受门诊特殊疾病待遇。________________________________不符合认定标准，不能享受门诊特殊疾病待遇。</w:t>
            </w:r>
          </w:p>
          <w:p>
            <w:pPr>
              <w:pStyle w:val="3"/>
              <w:rPr>
                <w:rFonts w:hint="eastAsia" w:cs="方正仿宋_GBK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认定机构盖章：            负责人：          认定人员：            时间：    年   月  日</w:t>
            </w:r>
          </w:p>
        </w:tc>
      </w:tr>
    </w:tbl>
    <w:p>
      <w:pPr>
        <w:ind w:firstLine="420" w:firstLineChars="200"/>
        <w:jc w:val="left"/>
        <w:rPr>
          <w:rFonts w:hint="eastAsia" w:ascii="宋体" w:hAnsi="宋体" w:cs="方正仿宋_GBK"/>
          <w:szCs w:val="21"/>
        </w:rPr>
      </w:pPr>
    </w:p>
    <w:p>
      <w:pPr>
        <w:rPr>
          <w:rFonts w:hint="eastAsia" w:ascii="宋体" w:hAnsi="宋体" w:cs="方正仿宋_GBK"/>
          <w:szCs w:val="21"/>
        </w:rPr>
      </w:pPr>
      <w:r>
        <w:rPr>
          <w:rFonts w:hint="eastAsia" w:ascii="宋体" w:hAnsi="宋体" w:cs="方正仿宋_GBK"/>
          <w:szCs w:val="21"/>
        </w:rPr>
        <w:t>备注：1.我市二级甲等及以上医疗机构为门诊特殊疾病认定机构，市外就医人员可以在市内医疗机构认定，也可持市外相关申请资料在参保地医保经办机构认定。2.从医保信息系统备案之日起享受待遇，时限为三年的病种，期满重新认定后继续享受待遇。3.治疗本病及并发症直接相关的药品、诊疗项目费用才能纳入门特报销范围。</w:t>
      </w:r>
    </w:p>
    <w:p>
      <w:pPr>
        <w:rPr>
          <w:rFonts w:hint="eastAsia" w:ascii="宋体" w:hAnsi="宋体" w:cs="方正仿宋_GBK"/>
          <w:szCs w:val="21"/>
        </w:rPr>
      </w:pPr>
    </w:p>
    <w:p>
      <w:pPr>
        <w:rPr>
          <w:rFonts w:hint="eastAsia" w:ascii="宋体" w:hAnsi="宋体" w:cs="方正仿宋_GBK"/>
          <w:szCs w:val="21"/>
        </w:rPr>
      </w:pPr>
    </w:p>
    <w:p>
      <w:pPr>
        <w:rPr>
          <w:rFonts w:hint="eastAsia" w:ascii="宋体" w:hAnsi="宋体" w:cs="方正仿宋_GBK"/>
          <w:szCs w:val="21"/>
        </w:rPr>
      </w:pPr>
    </w:p>
    <w:p>
      <w:pPr>
        <w:rPr>
          <w:rFonts w:hint="eastAsia" w:ascii="宋体" w:hAnsi="宋体" w:cs="方正仿宋_GBK"/>
          <w:szCs w:val="21"/>
        </w:rPr>
      </w:pPr>
    </w:p>
    <w:p>
      <w:pPr>
        <w:jc w:val="center"/>
        <w:rPr>
          <w:rFonts w:hint="eastAsia" w:ascii="方正小标宋简体" w:hAnsi="???????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???????" w:eastAsia="方正小标宋简体" w:cs="方正小标宋简体"/>
          <w:color w:val="000000"/>
          <w:kern w:val="0"/>
          <w:sz w:val="44"/>
          <w:szCs w:val="44"/>
        </w:rPr>
        <w:t>广元市门诊特殊疾病病种名称</w:t>
      </w:r>
    </w:p>
    <w:tbl>
      <w:tblPr>
        <w:tblStyle w:val="4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4" w:type="dxa"/>
          <w:bottom w:w="0" w:type="dxa"/>
          <w:right w:w="34" w:type="dxa"/>
        </w:tblCellMar>
      </w:tblPr>
      <w:tblGrid>
        <w:gridCol w:w="660"/>
        <w:gridCol w:w="2832"/>
        <w:gridCol w:w="733"/>
        <w:gridCol w:w="733"/>
        <w:gridCol w:w="3429"/>
        <w:gridCol w:w="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269" w:hRule="atLeast"/>
          <w:jc w:val="center"/>
        </w:trPr>
        <w:tc>
          <w:tcPr>
            <w:tcW w:w="4225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Cs w:val="21"/>
              </w:rPr>
              <w:t>一类门诊特殊疾病</w:t>
            </w:r>
          </w:p>
        </w:tc>
        <w:tc>
          <w:tcPr>
            <w:tcW w:w="490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Cs w:val="21"/>
              </w:rPr>
              <w:t>二类门诊特殊疾病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疾病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病    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待遇期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疾病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疾病名称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待遇期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原发性高血压（伴有靶器官损害和临床相关病变）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冠心病支架植入术后续治疗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冠心病（冠状动脉狭窄）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耐多药肺结核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急性心肌梗塞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肌僵直萎缩症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风湿性心脏病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肌萎缩性侧索硬化症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肺源性心脏病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克罗恩病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脑梗塞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肝硬化（失代偿期）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脑血管意外后遗症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强直性脊柱炎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慢性阻塞性肺疾病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多发性肌炎和皮肌炎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矽肺（非工伤）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系统性红斑狼疮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结核病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慢性肾功能衰竭治疗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糖尿病（伴有并发症）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再生障碍性贫血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甲状腺功能亢进症或减退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血友病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癫痫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白血病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14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消化性溃疡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骨髓增生异常综合症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慢性病毒性肝炎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原发性血小板减少性紫癜（急重型）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肝硬化代偿期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慢性骨髓炎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17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类风湿关节炎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川崎病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原发性慢性肾病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艾滋病机会性感染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19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银屑病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器官移植术后抗免疫排斥药物治疗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5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抑郁症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三年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恶性肿瘤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924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21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系统性硬化病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重性精神疾病（精神分裂症、分裂情感障碍、偏执型精神病、双相情感障碍、癫痫所致精神障碍、精神发育迟滞等）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儿童苯丙酮尿症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14岁内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尼曼匹克病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45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帕金森综合症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90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46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重症肌无力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47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肝豆状核变性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trHeight w:val="36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832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48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特发性肺纤维化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</w:t>
            </w:r>
          </w:p>
        </w:tc>
      </w:tr>
    </w:tbl>
    <w:p>
      <w:pPr>
        <w:rPr>
          <w:rFonts w:hint="eastAsia" w:ascii="宋体" w:hAnsi="宋体" w:cs="方正仿宋_GBK"/>
          <w:szCs w:val="21"/>
        </w:rPr>
      </w:pPr>
    </w:p>
    <w:p>
      <w:pPr>
        <w:rPr>
          <w:rFonts w:hint="eastAsia" w:ascii="宋体" w:hAnsi="宋体" w:cs="方正仿宋_GBK"/>
          <w:szCs w:val="21"/>
        </w:rPr>
      </w:pPr>
    </w:p>
    <w:p>
      <w:pPr>
        <w:rPr>
          <w:rFonts w:hint="eastAsia" w:ascii="宋体" w:hAnsi="宋体" w:cs="方正仿宋_GBK"/>
          <w:szCs w:val="21"/>
        </w:rPr>
      </w:pPr>
    </w:p>
    <w:p>
      <w:pPr>
        <w:rPr>
          <w:rFonts w:hint="eastAsia" w:ascii="宋体" w:hAnsi="宋体" w:cs="方正仿宋_GBK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F1338"/>
    <w:rsid w:val="2C691483"/>
    <w:rsid w:val="2E2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uiPriority w:val="99"/>
    <w:pPr>
      <w:ind w:left="200" w:leftChars="200" w:hanging="200" w:hangingChars="200"/>
    </w:pPr>
    <w:rPr>
      <w:rFonts w:ascii="Calibri" w:hAnsi="Calibri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2021-03-15T07:06:00Z</dcterms:created>
  <dc:creator>一只特立独行的猪</dc:creator>
  <cp:lastModifiedBy>一只特立独行的猪</cp:lastModifiedBy>
  <dcterms:modified xsi:type="dcterms:W3CDTF">2021-03-15T07:09:50Z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