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640"/>
        <w:jc w:val="center"/>
        <w:rPr>
          <w:rFonts w:hint="eastAsia" w:ascii="黑体" w:hAnsi="宋体" w:eastAsia="黑体" w:cs="黑体"/>
          <w:i w:val="0"/>
          <w:caps w:val="0"/>
          <w:color w:val="333333"/>
          <w:spacing w:val="0"/>
          <w:sz w:val="40"/>
          <w:szCs w:val="40"/>
        </w:rPr>
      </w:pPr>
      <w:r>
        <w:rPr>
          <w:rFonts w:hint="eastAsia" w:ascii="黑体" w:hAnsi="宋体" w:eastAsia="黑体" w:cs="黑体"/>
          <w:i w:val="0"/>
          <w:caps w:val="0"/>
          <w:color w:val="333333"/>
          <w:spacing w:val="0"/>
          <w:sz w:val="40"/>
          <w:szCs w:val="40"/>
        </w:rPr>
        <w:t>苍溪县双河乡人民政府</w:t>
      </w:r>
    </w:p>
    <w:p>
      <w:pPr>
        <w:pStyle w:val="2"/>
        <w:keepNext w:val="0"/>
        <w:keepLines w:val="0"/>
        <w:widowControl/>
        <w:suppressLineNumbers w:val="0"/>
        <w:spacing w:before="75" w:beforeAutospacing="0" w:after="75" w:afterAutospacing="0"/>
        <w:ind w:left="0" w:right="0" w:firstLine="640"/>
        <w:jc w:val="center"/>
        <w:rPr>
          <w:rFonts w:hint="eastAsia" w:ascii="黑体" w:hAnsi="宋体" w:eastAsia="黑体" w:cs="黑体"/>
          <w:i w:val="0"/>
          <w:caps w:val="0"/>
          <w:color w:val="333333"/>
          <w:spacing w:val="0"/>
          <w:sz w:val="40"/>
          <w:szCs w:val="40"/>
        </w:rPr>
      </w:pPr>
      <w:r>
        <w:rPr>
          <w:rFonts w:hint="eastAsia" w:ascii="黑体" w:hAnsi="宋体" w:eastAsia="黑体" w:cs="黑体"/>
          <w:i w:val="0"/>
          <w:caps w:val="0"/>
          <w:color w:val="333333"/>
          <w:spacing w:val="0"/>
          <w:sz w:val="40"/>
          <w:szCs w:val="40"/>
        </w:rPr>
        <w:t>2017年部门决算编制说明</w:t>
      </w:r>
    </w:p>
    <w:p>
      <w:pPr>
        <w:pStyle w:val="2"/>
        <w:keepNext w:val="0"/>
        <w:keepLines w:val="0"/>
        <w:widowControl/>
        <w:suppressLineNumbers w:val="0"/>
        <w:spacing w:before="75" w:beforeAutospacing="0" w:after="75" w:afterAutospacing="0"/>
        <w:ind w:left="0" w:right="0" w:firstLine="640"/>
        <w:jc w:val="center"/>
        <w:rPr>
          <w:rFonts w:hint="eastAsia" w:ascii="黑体" w:hAnsi="宋体" w:eastAsia="黑体" w:cs="黑体"/>
          <w:i w:val="0"/>
          <w:caps w:val="0"/>
          <w:color w:val="333333"/>
          <w:spacing w:val="0"/>
          <w:sz w:val="40"/>
          <w:szCs w:val="40"/>
        </w:rPr>
      </w:pPr>
    </w:p>
    <w:p>
      <w:pPr>
        <w:pStyle w:val="2"/>
        <w:keepNext w:val="0"/>
        <w:keepLines w:val="0"/>
        <w:widowControl/>
        <w:suppressLineNumbers w:val="0"/>
        <w:spacing w:before="75" w:beforeAutospacing="0" w:after="75" w:afterAutospacing="0"/>
        <w:ind w:right="0" w:firstLine="320" w:firstLineChars="100"/>
        <w:rPr>
          <w:rFonts w:ascii="Tahoma" w:hAnsi="Tahoma" w:eastAsia="Tahoma" w:cs="Tahoma"/>
          <w:i w:val="0"/>
          <w:caps w:val="0"/>
          <w:color w:val="333333"/>
          <w:spacing w:val="0"/>
          <w:sz w:val="21"/>
          <w:szCs w:val="21"/>
        </w:rPr>
      </w:pPr>
      <w:r>
        <w:rPr>
          <w:rFonts w:ascii="黑体" w:hAnsi="宋体" w:eastAsia="黑体" w:cs="黑体"/>
          <w:i w:val="0"/>
          <w:caps w:val="0"/>
          <w:color w:val="333333"/>
          <w:spacing w:val="0"/>
          <w:sz w:val="32"/>
          <w:szCs w:val="32"/>
        </w:rPr>
        <w:t>一、基本职能及主要工作</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ascii="楷体_GB2312" w:hAnsi="Tahoma" w:eastAsia="楷体_GB2312" w:cs="楷体_GB2312"/>
          <w:b/>
          <w:i w:val="0"/>
          <w:caps w:val="0"/>
          <w:color w:val="333333"/>
          <w:spacing w:val="0"/>
          <w:sz w:val="32"/>
          <w:szCs w:val="32"/>
        </w:rPr>
        <w:t>（一）主要职能。</w:t>
      </w:r>
    </w:p>
    <w:p>
      <w:pPr>
        <w:pStyle w:val="2"/>
        <w:keepNext w:val="0"/>
        <w:keepLines w:val="0"/>
        <w:widowControl/>
        <w:suppressLineNumbers w:val="0"/>
        <w:spacing w:before="75" w:beforeAutospacing="0" w:after="75" w:afterAutospacing="0"/>
        <w:ind w:left="0" w:right="0" w:firstLine="672"/>
        <w:rPr>
          <w:rFonts w:hint="default" w:ascii="Tahoma" w:hAnsi="Tahoma" w:eastAsia="Tahoma" w:cs="Tahoma"/>
          <w:i w:val="0"/>
          <w:caps w:val="0"/>
          <w:color w:val="333333"/>
          <w:spacing w:val="0"/>
          <w:sz w:val="21"/>
          <w:szCs w:val="21"/>
        </w:rPr>
      </w:pPr>
      <w:r>
        <w:rPr>
          <w:rFonts w:ascii="仿宋_GB2312" w:hAnsi="Tahoma" w:eastAsia="仿宋_GB2312" w:cs="仿宋_GB2312"/>
          <w:i w:val="0"/>
          <w:caps w:val="0"/>
          <w:color w:val="333333"/>
          <w:spacing w:val="0"/>
          <w:sz w:val="32"/>
          <w:szCs w:val="32"/>
        </w:rPr>
        <w:t>贯彻落实党和国家在农村的各项方针政策和法律法规，服务</w:t>
      </w:r>
      <w:r>
        <w:rPr>
          <w:rFonts w:hint="default" w:ascii="仿宋_GB2312" w:hAnsi="Tahoma" w:eastAsia="仿宋_GB2312" w:cs="仿宋_GB2312"/>
          <w:i w:val="0"/>
          <w:caps w:val="0"/>
          <w:color w:val="333333"/>
          <w:spacing w:val="0"/>
          <w:sz w:val="32"/>
          <w:szCs w:val="32"/>
        </w:rPr>
        <w:t>“三农”工作。主要围绕促进经济发展、增加农民收入，强化公共服务、着力改善民生，加强社会管理、维护农村稳定，推进基层民主、促进农村和谐四个方面履职。致力稳中求进，提升综合经济实力，致力规划先行，特色产业蓬勃发展，致力项目争取，基础设施全面改善，致力脱贫攻坚，如期实现退出验收，致力民生事业，筑牢社会保障体系，致力新风培育，深入开展六化行动。</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（二）2017年重点工作完成情况。</w:t>
      </w:r>
    </w:p>
    <w:p>
      <w:pPr>
        <w:pStyle w:val="2"/>
        <w:keepNext w:val="0"/>
        <w:keepLines w:val="0"/>
        <w:widowControl/>
        <w:suppressLineNumbers w:val="0"/>
        <w:spacing w:before="75" w:beforeAutospacing="0" w:after="75" w:afterAutospacing="0"/>
        <w:ind w:left="0" w:right="0" w:firstLine="616"/>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认真贯彻党的十八届三中、四中、五中、六中全会和十九大精神，紧紧围绕县委“2344”发展方略，聚焦项目投资、脱贫攻坚、产业发展三大主战场，着力“1+3”特色产业发展，全面夯实基础设施建设，稳步推进民生事业，深入开展优化经济发展环境“双提双破”行动，双河经济和社会各项事业保持良好发展态势。经济发展蒸蒸日上，综合实力明显增强；脱贫攻坚丝丝入扣，精准脱贫不落一人；产业发展欣欣向荣，助农增收保民无忧；民生保障面面俱到，社会环境和谐稳定。</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二、部门概况</w:t>
      </w:r>
    </w:p>
    <w:p>
      <w:pPr>
        <w:pStyle w:val="2"/>
        <w:keepNext w:val="0"/>
        <w:keepLines w:val="0"/>
        <w:widowControl/>
        <w:suppressLineNumbers w:val="0"/>
        <w:spacing w:before="75" w:beforeAutospacing="0" w:after="75" w:afterAutospacing="0"/>
        <w:ind w:left="0" w:right="0" w:firstLine="672"/>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苍溪县双河乡人民政府（以下简称“本部门”）下属二级单位0个，其中行政单位0个，参照公务员法管理的事业单位0个，其他事业单位0个。</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三、收支决算总体情况说明</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本部门本年收入合计489.81万元，其中：财政拨款收入461.21万元，占94.16%；事业收入0万元，占0%；经营收入0万元，占0%；附属单位上缴收入0万元，占0%；其他收入28.6万元，占5.84%。本年收入较上年度减少35.4万元，减少6.78%，减少的主要原因是社会保障和就业减少35.4万元。</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本部门本年支出合计574.17万元，其中：基本支出307.05万元，占53.48%；项目支出262.12万元，占46.52%；上缴上级支出0万元，占0%；经营支出0万元，占0%；对附属单位补助支出0万元，占0%。本年支出较上年度减少64.82万元，减少10.14%，减少的主要原因是文化化育与传媒支出、社会保障和就业支出减少64.82万元。</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四、财政拨款收入支出决算总体情况说明</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2017年度财政拨款收入总计461.21万元，财政拨款支出总计558.37万元。与2016年相比，财政拨款收入减少60.49万元,下降11.6%、财政拨款支出减少70.62万元, 下降11.22%。</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五、一般公共预算财政拨款支出决算情况说明</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（一）一般公共预算财政拨款支出决算总体情况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2017年度一般公共预算财政拨款支出558.37万元，占本年支出合计的97.25%。与2016年相比，一般公共预算财政拨款支出减少65.22万元，减少10.46%。</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（二）一般公共预算财政拨款支出决算结构情况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一般公共预算财政拨款支出558.37万元，主要用于以下方面:一般公共服务支出231.98万元，占41.55%；文化体育与传媒支出9.64万元，占1.73%；社会保障和就业支出54.47万元，占9.76%；医疗卫生和计划生育支出17.98万元，占3.22%；农林水支出228.48万元，占40.92%；商业服务业等支出6.5万元,占1.16%；住房保障支出9.32万元，占1.66%。</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（三）一般公共预算财政拨款支出决算具体情况</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1.一般公共服务支出（类）政府办公厅（室）及相关机构事务（款）行政运行（项）：</w:t>
      </w:r>
      <w:r>
        <w:rPr>
          <w:rFonts w:hint="default" w:ascii="仿宋_GB2312" w:hAnsi="Tahoma" w:eastAsia="仿宋_GB2312" w:cs="仿宋_GB2312"/>
          <w:b w:val="0"/>
          <w:i w:val="0"/>
          <w:caps w:val="0"/>
          <w:color w:val="333333"/>
          <w:spacing w:val="0"/>
          <w:sz w:val="32"/>
          <w:szCs w:val="32"/>
        </w:rPr>
        <w:t>支出决算为191.38万元，完成预算162.64%，决算数大于预算数的主要原因是支出中包括“年初结转和结余资金”；</w:t>
      </w:r>
      <w:r>
        <w:rPr>
          <w:rFonts w:hint="default" w:ascii="仿宋_GB2312" w:hAnsi="Tahoma" w:eastAsia="仿宋_GB2312" w:cs="仿宋_GB2312"/>
          <w:b/>
          <w:i w:val="0"/>
          <w:caps w:val="0"/>
          <w:color w:val="333333"/>
          <w:spacing w:val="0"/>
          <w:sz w:val="32"/>
          <w:szCs w:val="32"/>
        </w:rPr>
        <w:t>一般公共服务支出（类）政府办公厅（室）及相关机构事务（款）一般行政管理事务（项）：</w:t>
      </w:r>
      <w:r>
        <w:rPr>
          <w:rFonts w:hint="default" w:ascii="仿宋_GB2312" w:hAnsi="Tahoma" w:eastAsia="仿宋_GB2312" w:cs="仿宋_GB2312"/>
          <w:b w:val="0"/>
          <w:i w:val="0"/>
          <w:caps w:val="0"/>
          <w:color w:val="333333"/>
          <w:spacing w:val="0"/>
          <w:sz w:val="32"/>
          <w:szCs w:val="32"/>
        </w:rPr>
        <w:t>支出决算为13.1万元，完成预算159.82%，决算数大于预算数的主要原因是支出中包括“年初结转和结余资金”；</w:t>
      </w:r>
      <w:r>
        <w:rPr>
          <w:rFonts w:hint="default" w:ascii="仿宋_GB2312" w:hAnsi="Tahoma" w:eastAsia="仿宋_GB2312" w:cs="仿宋_GB2312"/>
          <w:b/>
          <w:i w:val="0"/>
          <w:caps w:val="0"/>
          <w:color w:val="333333"/>
          <w:spacing w:val="0"/>
          <w:sz w:val="32"/>
          <w:szCs w:val="32"/>
        </w:rPr>
        <w:t>一般公共服务支出（类）党委办公厅（室）及相关机构事务（款）行政运行（项）：</w:t>
      </w:r>
      <w:r>
        <w:rPr>
          <w:rFonts w:hint="default" w:ascii="仿宋_GB2312" w:hAnsi="Tahoma" w:eastAsia="仿宋_GB2312" w:cs="仿宋_GB2312"/>
          <w:b w:val="0"/>
          <w:i w:val="0"/>
          <w:caps w:val="0"/>
          <w:color w:val="333333"/>
          <w:spacing w:val="0"/>
          <w:sz w:val="32"/>
          <w:szCs w:val="32"/>
        </w:rPr>
        <w:t>支出决算为27.5万元，完成预算100%。</w:t>
      </w:r>
    </w:p>
    <w:p>
      <w:pPr>
        <w:pStyle w:val="2"/>
        <w:keepNext w:val="0"/>
        <w:keepLines w:val="0"/>
        <w:widowControl/>
        <w:suppressLineNumbers w:val="0"/>
        <w:spacing w:before="75" w:beforeAutospacing="0" w:after="75" w:afterAutospacing="0"/>
        <w:ind w:left="0" w:right="0" w:firstLine="482"/>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2．文化体育与传媒支出（类）文化（款）群众文化（项）:</w:t>
      </w:r>
      <w:r>
        <w:rPr>
          <w:rFonts w:hint="default" w:ascii="仿宋_GB2312" w:hAnsi="Tahoma" w:eastAsia="仿宋_GB2312" w:cs="仿宋_GB2312"/>
          <w:b w:val="0"/>
          <w:i w:val="0"/>
          <w:caps w:val="0"/>
          <w:color w:val="333333"/>
          <w:spacing w:val="0"/>
          <w:sz w:val="32"/>
          <w:szCs w:val="32"/>
        </w:rPr>
        <w:t> 支出决算为8.02万元,完成预算100%；</w:t>
      </w:r>
      <w:r>
        <w:rPr>
          <w:rFonts w:hint="default" w:ascii="仿宋_GB2312" w:hAnsi="Tahoma" w:eastAsia="仿宋_GB2312" w:cs="仿宋_GB2312"/>
          <w:b/>
          <w:i w:val="0"/>
          <w:caps w:val="0"/>
          <w:color w:val="333333"/>
          <w:spacing w:val="0"/>
          <w:sz w:val="32"/>
          <w:szCs w:val="32"/>
        </w:rPr>
        <w:t>文化体育与传媒支出（类）文化（款）其他文化支出（项）:</w:t>
      </w:r>
      <w:r>
        <w:rPr>
          <w:rFonts w:hint="default" w:ascii="仿宋_GB2312" w:hAnsi="Tahoma" w:eastAsia="仿宋_GB2312" w:cs="仿宋_GB2312"/>
          <w:b w:val="0"/>
          <w:i w:val="0"/>
          <w:caps w:val="0"/>
          <w:color w:val="333333"/>
          <w:spacing w:val="0"/>
          <w:sz w:val="32"/>
          <w:szCs w:val="32"/>
        </w:rPr>
        <w:t> 支出决算为1.62万元,完成预算100%。</w:t>
      </w:r>
      <w:r>
        <w:rPr>
          <w:rFonts w:hint="default" w:ascii="仿宋_GB2312" w:hAnsi="Tahoma" w:eastAsia="仿宋_GB2312" w:cs="仿宋_GB2312"/>
          <w:b/>
          <w:i w:val="0"/>
          <w:caps w:val="0"/>
          <w:color w:val="333333"/>
          <w:spacing w:val="0"/>
          <w:sz w:val="32"/>
          <w:szCs w:val="32"/>
        </w:rPr>
        <w:br w:type="textWrapping"/>
      </w:r>
      <w:r>
        <w:rPr>
          <w:rFonts w:hint="default" w:ascii="仿宋_GB2312" w:hAnsi="Tahoma" w:eastAsia="仿宋_GB2312" w:cs="仿宋_GB2312"/>
          <w:i w:val="0"/>
          <w:caps w:val="0"/>
          <w:color w:val="333333"/>
          <w:spacing w:val="0"/>
          <w:sz w:val="32"/>
          <w:szCs w:val="32"/>
        </w:rPr>
        <w:t> </w:t>
      </w:r>
      <w:r>
        <w:rPr>
          <w:rFonts w:hint="default" w:ascii="仿宋_GB2312" w:hAnsi="Tahoma" w:eastAsia="仿宋_GB2312" w:cs="仿宋_GB2312"/>
          <w:b/>
          <w:i w:val="0"/>
          <w:caps w:val="0"/>
          <w:color w:val="333333"/>
          <w:spacing w:val="0"/>
          <w:sz w:val="32"/>
          <w:szCs w:val="32"/>
        </w:rPr>
        <w:t>3 .社会保障和就业支出（类）行政事业单位离退休（款）机关事业单位基本养老保险缴费支出（项）: </w:t>
      </w:r>
      <w:r>
        <w:rPr>
          <w:rFonts w:hint="default" w:ascii="仿宋_GB2312" w:hAnsi="Tahoma" w:eastAsia="仿宋_GB2312" w:cs="仿宋_GB2312"/>
          <w:b w:val="0"/>
          <w:i w:val="0"/>
          <w:caps w:val="0"/>
          <w:color w:val="333333"/>
          <w:spacing w:val="0"/>
          <w:sz w:val="32"/>
          <w:szCs w:val="32"/>
        </w:rPr>
        <w:t>支出决算为29.47万元，完成预算100%；</w:t>
      </w:r>
      <w:r>
        <w:rPr>
          <w:rFonts w:hint="default" w:ascii="仿宋_GB2312" w:hAnsi="Tahoma" w:eastAsia="仿宋_GB2312" w:cs="仿宋_GB2312"/>
          <w:b/>
          <w:i w:val="0"/>
          <w:caps w:val="0"/>
          <w:color w:val="333333"/>
          <w:spacing w:val="0"/>
          <w:sz w:val="32"/>
          <w:szCs w:val="32"/>
        </w:rPr>
        <w:t>社会保障和就业支出（类）抚恤（款）其他抚恤支出（项）: </w:t>
      </w:r>
      <w:r>
        <w:rPr>
          <w:rFonts w:hint="default" w:ascii="仿宋_GB2312" w:hAnsi="Tahoma" w:eastAsia="仿宋_GB2312" w:cs="仿宋_GB2312"/>
          <w:b w:val="0"/>
          <w:i w:val="0"/>
          <w:caps w:val="0"/>
          <w:color w:val="333333"/>
          <w:spacing w:val="0"/>
          <w:sz w:val="32"/>
          <w:szCs w:val="32"/>
        </w:rPr>
        <w:t>支出决算为25万元，完成预算100%。</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4.医疗卫生与计划生育支出（类）计划生育事务（款）计划生育机构（项）: </w:t>
      </w:r>
      <w:r>
        <w:rPr>
          <w:rFonts w:hint="default" w:ascii="仿宋_GB2312" w:hAnsi="Tahoma" w:eastAsia="仿宋_GB2312" w:cs="仿宋_GB2312"/>
          <w:b w:val="0"/>
          <w:i w:val="0"/>
          <w:caps w:val="0"/>
          <w:color w:val="333333"/>
          <w:spacing w:val="0"/>
          <w:sz w:val="32"/>
          <w:szCs w:val="32"/>
        </w:rPr>
        <w:t>支出决算为17.98万元，完成预算100%；</w:t>
      </w:r>
      <w:r>
        <w:rPr>
          <w:rFonts w:hint="default" w:ascii="仿宋_GB2312" w:hAnsi="Tahoma" w:eastAsia="仿宋_GB2312" w:cs="仿宋_GB2312"/>
          <w:b/>
          <w:i w:val="0"/>
          <w:caps w:val="0"/>
          <w:color w:val="333333"/>
          <w:spacing w:val="0"/>
          <w:sz w:val="32"/>
          <w:szCs w:val="32"/>
        </w:rPr>
        <w:t>医疗卫生与计划生育支出（类）行政事业单位医疗（款）行政单位医疗（项）: </w:t>
      </w:r>
      <w:r>
        <w:rPr>
          <w:rFonts w:hint="default" w:ascii="仿宋_GB2312" w:hAnsi="Tahoma" w:eastAsia="仿宋_GB2312" w:cs="仿宋_GB2312"/>
          <w:b w:val="0"/>
          <w:i w:val="0"/>
          <w:caps w:val="0"/>
          <w:color w:val="333333"/>
          <w:spacing w:val="0"/>
          <w:sz w:val="32"/>
          <w:szCs w:val="32"/>
        </w:rPr>
        <w:t>支出决算为8.73万元，完成预算100%；</w:t>
      </w:r>
      <w:r>
        <w:rPr>
          <w:rFonts w:hint="default" w:ascii="仿宋_GB2312" w:hAnsi="Tahoma" w:eastAsia="仿宋_GB2312" w:cs="仿宋_GB2312"/>
          <w:b/>
          <w:i w:val="0"/>
          <w:caps w:val="0"/>
          <w:color w:val="333333"/>
          <w:spacing w:val="0"/>
          <w:sz w:val="32"/>
          <w:szCs w:val="32"/>
        </w:rPr>
        <w:t>医疗卫生与计划生育支出（类）行政事业单位医疗（款）事业单位医疗（项）: </w:t>
      </w:r>
      <w:r>
        <w:rPr>
          <w:rFonts w:hint="default" w:ascii="仿宋_GB2312" w:hAnsi="Tahoma" w:eastAsia="仿宋_GB2312" w:cs="仿宋_GB2312"/>
          <w:b w:val="0"/>
          <w:i w:val="0"/>
          <w:caps w:val="0"/>
          <w:color w:val="333333"/>
          <w:spacing w:val="0"/>
          <w:sz w:val="32"/>
          <w:szCs w:val="32"/>
        </w:rPr>
        <w:t>支出决算为9.25万元，完成预算100%。</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5.农林水支出（类）农业（款）事业运行（项）: </w:t>
      </w:r>
      <w:r>
        <w:rPr>
          <w:rFonts w:hint="default" w:ascii="仿宋_GB2312" w:hAnsi="Tahoma" w:eastAsia="仿宋_GB2312" w:cs="仿宋_GB2312"/>
          <w:b w:val="0"/>
          <w:i w:val="0"/>
          <w:caps w:val="0"/>
          <w:color w:val="333333"/>
          <w:spacing w:val="0"/>
          <w:sz w:val="32"/>
          <w:szCs w:val="32"/>
        </w:rPr>
        <w:t>支出决算为22.19万元，完成预算100%；</w:t>
      </w:r>
      <w:r>
        <w:rPr>
          <w:rFonts w:hint="default" w:ascii="仿宋_GB2312" w:hAnsi="Tahoma" w:eastAsia="仿宋_GB2312" w:cs="仿宋_GB2312"/>
          <w:b/>
          <w:i w:val="0"/>
          <w:caps w:val="0"/>
          <w:color w:val="333333"/>
          <w:spacing w:val="0"/>
          <w:sz w:val="32"/>
          <w:szCs w:val="32"/>
        </w:rPr>
        <w:t>农林水支出（类）扶贫（款）其他扶贫支出（项）: </w:t>
      </w:r>
      <w:r>
        <w:rPr>
          <w:rFonts w:hint="default" w:ascii="仿宋_GB2312" w:hAnsi="Tahoma" w:eastAsia="仿宋_GB2312" w:cs="仿宋_GB2312"/>
          <w:b w:val="0"/>
          <w:i w:val="0"/>
          <w:caps w:val="0"/>
          <w:color w:val="333333"/>
          <w:spacing w:val="0"/>
          <w:sz w:val="32"/>
          <w:szCs w:val="32"/>
        </w:rPr>
        <w:t>支出决算为13.97万元，完成预算100%；</w:t>
      </w:r>
      <w:r>
        <w:rPr>
          <w:rFonts w:hint="default" w:ascii="仿宋_GB2312" w:hAnsi="Tahoma" w:eastAsia="仿宋_GB2312" w:cs="仿宋_GB2312"/>
          <w:b/>
          <w:i w:val="0"/>
          <w:caps w:val="0"/>
          <w:color w:val="333333"/>
          <w:spacing w:val="0"/>
          <w:sz w:val="32"/>
          <w:szCs w:val="32"/>
        </w:rPr>
        <w:t>农林水支出（类）农村综合改革（款）对村民委员会和村党支部的补助（项）:</w:t>
      </w:r>
      <w:r>
        <w:rPr>
          <w:rFonts w:hint="default" w:ascii="仿宋_GB2312" w:hAnsi="Tahoma" w:eastAsia="仿宋_GB2312" w:cs="仿宋_GB2312"/>
          <w:b w:val="0"/>
          <w:i w:val="0"/>
          <w:caps w:val="0"/>
          <w:color w:val="333333"/>
          <w:spacing w:val="0"/>
          <w:sz w:val="32"/>
          <w:szCs w:val="32"/>
        </w:rPr>
        <w:t> 支出决算为192.32万元，完成预算100%。</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6．商业服务业等支出（类）商业流通事务（款）其他商业流通事务支出（项）:</w:t>
      </w:r>
      <w:r>
        <w:rPr>
          <w:rFonts w:hint="default" w:ascii="仿宋_GB2312" w:hAnsi="Tahoma" w:eastAsia="仿宋_GB2312" w:cs="仿宋_GB2312"/>
          <w:b w:val="0"/>
          <w:i w:val="0"/>
          <w:caps w:val="0"/>
          <w:color w:val="333333"/>
          <w:spacing w:val="0"/>
          <w:sz w:val="32"/>
          <w:szCs w:val="32"/>
        </w:rPr>
        <w:t> 支出决算为6.5万元，完成预算100%。</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7.住房保障支出（类）住房改革支出（款）住房公积金（项）: </w:t>
      </w:r>
      <w:r>
        <w:rPr>
          <w:rFonts w:hint="default" w:ascii="仿宋_GB2312" w:hAnsi="Tahoma" w:eastAsia="仿宋_GB2312" w:cs="仿宋_GB2312"/>
          <w:b w:val="0"/>
          <w:i w:val="0"/>
          <w:caps w:val="0"/>
          <w:color w:val="333333"/>
          <w:spacing w:val="0"/>
          <w:sz w:val="32"/>
          <w:szCs w:val="32"/>
        </w:rPr>
        <w:t>支出决算为9.32万元，完成预算100%。</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六、一般公共预算财政拨款基本支出决算情况说明</w:t>
      </w:r>
    </w:p>
    <w:p>
      <w:pPr>
        <w:pStyle w:val="2"/>
        <w:keepNext w:val="0"/>
        <w:keepLines w:val="0"/>
        <w:widowControl/>
        <w:suppressLineNumbers w:val="0"/>
        <w:spacing w:before="75" w:beforeAutospacing="0" w:after="75" w:afterAutospacing="0"/>
        <w:ind w:left="0" w:right="0" w:firstLine="20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2017年一般公共预算财政拨款基本支出305.79万元，其中：</w:t>
      </w:r>
    </w:p>
    <w:p>
      <w:pPr>
        <w:pStyle w:val="2"/>
        <w:keepNext w:val="0"/>
        <w:keepLines w:val="0"/>
        <w:widowControl/>
        <w:suppressLineNumbers w:val="0"/>
        <w:spacing w:before="75" w:beforeAutospacing="0" w:after="75" w:afterAutospacing="0"/>
        <w:ind w:left="0" w:right="0" w:firstLine="20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人员经费220.82万元，主要包括：基本工资、津贴补贴、奖金、绩效工资、机关事业单位基本养老保险缴费、其他社会保障缴费、其他工资福利支出、抚恤金、生活补助、医疗费、奖励金、住房公积金、其他对个人和家庭的补助支出。</w:t>
      </w:r>
    </w:p>
    <w:p>
      <w:pPr>
        <w:pStyle w:val="2"/>
        <w:keepNext w:val="0"/>
        <w:keepLines w:val="0"/>
        <w:widowControl/>
        <w:suppressLineNumbers w:val="0"/>
        <w:spacing w:before="75" w:beforeAutospacing="0" w:after="75" w:afterAutospacing="0"/>
        <w:ind w:left="0" w:right="0" w:firstLine="48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公用经费84.97万元，主要包括：办公费、印刷费、咨询费、手续费、水费、电费、邮电费、差旅费、维修（护）费、会议费、培训费、公务接待费、劳务费、工会经费、福利费、其他交通费、其他商品和服务支出、办公设备购置、其他资本性支出等。</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七、“三公”经费财政拨款支出决算情况说明</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（一） “三公”经费财政拨款支出决算总体情况说明</w:t>
      </w:r>
    </w:p>
    <w:p>
      <w:pPr>
        <w:pStyle w:val="2"/>
        <w:keepNext w:val="0"/>
        <w:keepLines w:val="0"/>
        <w:widowControl/>
        <w:suppressLineNumbers w:val="0"/>
        <w:spacing w:before="75" w:beforeAutospacing="0" w:after="75" w:afterAutospacing="0"/>
        <w:ind w:left="0" w:right="0" w:firstLine="20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2017年本部门“三公”经费财政拨款支出决算为6.42万元，完成预算71.33%，决算数小于预算数的主要原因是单位厉行节约,降低接待标准等。</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（二） “三公”经费财政拨款支出决算具体情况说明</w:t>
      </w:r>
    </w:p>
    <w:p>
      <w:pPr>
        <w:pStyle w:val="2"/>
        <w:keepNext w:val="0"/>
        <w:keepLines w:val="0"/>
        <w:widowControl/>
        <w:suppressLineNumbers w:val="0"/>
        <w:spacing w:before="75" w:beforeAutospacing="0" w:after="75" w:afterAutospacing="0"/>
        <w:ind w:left="0" w:right="0" w:firstLine="20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2017年度本部门“三公”经费财政拨款支出决算中，因公出国（境）费支出决算0万元，占0%；公务用车购置及运行维护费支出决算4.86万元，占97.2%；公务接待费支出决算1.56万元，占39%。具体情况如下：</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1.因公出国（境）经费支出</w:t>
      </w:r>
      <w:r>
        <w:rPr>
          <w:rFonts w:hint="default" w:ascii="仿宋_GB2312" w:hAnsi="Tahoma" w:eastAsia="仿宋_GB2312" w:cs="仿宋_GB2312"/>
          <w:i w:val="0"/>
          <w:caps w:val="0"/>
          <w:color w:val="333333"/>
          <w:spacing w:val="0"/>
          <w:sz w:val="32"/>
          <w:szCs w:val="32"/>
        </w:rPr>
        <w:t>0万元。全年安排因公出国（境）团组0次，出国（境）0人。</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2.公务用车购置及运行维护费支出</w:t>
      </w:r>
      <w:r>
        <w:rPr>
          <w:rFonts w:hint="default" w:ascii="仿宋_GB2312" w:hAnsi="Tahoma" w:eastAsia="仿宋_GB2312" w:cs="仿宋_GB2312"/>
          <w:i w:val="0"/>
          <w:caps w:val="0"/>
          <w:color w:val="333333"/>
          <w:spacing w:val="0"/>
          <w:sz w:val="32"/>
          <w:szCs w:val="32"/>
        </w:rPr>
        <w:t>4.86万元。其中：</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公务用车购置支出</w:t>
      </w:r>
      <w:r>
        <w:rPr>
          <w:rFonts w:hint="default" w:ascii="仿宋_GB2312" w:hAnsi="Tahoma" w:eastAsia="仿宋_GB2312" w:cs="仿宋_GB2312"/>
          <w:i w:val="0"/>
          <w:caps w:val="0"/>
          <w:color w:val="333333"/>
          <w:spacing w:val="0"/>
          <w:sz w:val="32"/>
          <w:szCs w:val="32"/>
        </w:rPr>
        <w:t>0万元。全年按规定更新购置公务用车0辆，其中：轿车0辆、金额0万元，越野车0辆、金额0万元，载客汽车0辆、金额0万元。</w:t>
      </w:r>
    </w:p>
    <w:p>
      <w:pPr>
        <w:pStyle w:val="2"/>
        <w:keepNext w:val="0"/>
        <w:keepLines w:val="0"/>
        <w:widowControl/>
        <w:suppressLineNumbers w:val="0"/>
        <w:spacing w:before="75" w:beforeAutospacing="0" w:after="75" w:afterAutospacing="0"/>
        <w:ind w:left="0" w:right="0" w:firstLine="200"/>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公务用车运行维护费支出</w:t>
      </w:r>
      <w:r>
        <w:rPr>
          <w:rFonts w:hint="default" w:ascii="仿宋_GB2312" w:hAnsi="Tahoma" w:eastAsia="仿宋_GB2312" w:cs="仿宋_GB2312"/>
          <w:i w:val="0"/>
          <w:caps w:val="0"/>
          <w:color w:val="333333"/>
          <w:spacing w:val="0"/>
          <w:sz w:val="32"/>
          <w:szCs w:val="32"/>
        </w:rPr>
        <w:t>4.86万元。</w:t>
      </w:r>
    </w:p>
    <w:p>
      <w:pPr>
        <w:pStyle w:val="2"/>
        <w:keepNext w:val="0"/>
        <w:keepLines w:val="0"/>
        <w:widowControl/>
        <w:suppressLineNumbers w:val="0"/>
        <w:spacing w:before="75" w:beforeAutospacing="0" w:after="75" w:afterAutospacing="0"/>
        <w:ind w:left="0" w:right="0" w:firstLine="643"/>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3.公务接待费支出</w:t>
      </w:r>
      <w:r>
        <w:rPr>
          <w:rFonts w:hint="default" w:ascii="仿宋_GB2312" w:hAnsi="Tahoma" w:eastAsia="仿宋_GB2312" w:cs="仿宋_GB2312"/>
          <w:i w:val="0"/>
          <w:caps w:val="0"/>
          <w:color w:val="333333"/>
          <w:spacing w:val="0"/>
          <w:sz w:val="32"/>
          <w:szCs w:val="32"/>
        </w:rPr>
        <w:t>1.56万元。主要用于执行公务、开展业务活动开支的交通费、住宿费、用餐费等。国内公务接待89批次，518人次（不包括陪同人员），共计支出1.56万元，具体内容包括：具体内容包括：国内接待89批次，518人。主要用于扶贫工作1.17万元，其他工作开支的接待费0.39万元。</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公务接待费支出决算比2017年减少2.39万元，下降60.5%。主要原因是单位厉行节约,降低接待标准等。</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八、政府性基金预算支出决算情况说明</w:t>
      </w:r>
    </w:p>
    <w:p>
      <w:pPr>
        <w:pStyle w:val="2"/>
        <w:keepNext w:val="0"/>
        <w:keepLines w:val="0"/>
        <w:widowControl/>
        <w:suppressLineNumbers w:val="0"/>
        <w:spacing w:before="75" w:beforeAutospacing="0" w:after="75" w:afterAutospacing="0"/>
        <w:ind w:left="0" w:right="0" w:firstLine="20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2017年度本部门政府性基金预算拨款支出0万元</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九、其他重要事项的情况说明</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（一）机关运行经费支出情况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2017年度，本部门机关运行经费支出84.96万元，比2016年减少30.84万元，下降26.63%。</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（二）政府采购支出情况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2017年度，本部门政府采购支出总额0万元，其中：政府采购货物支出0万元、政府采购工程支出0万元、政府采购服务支出0万元。</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（三）国有资产占有使用情况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截至2017年12月31日，双河乡公有车辆1辆，其中：省部级领导干部用车0辆、一般公务用车1辆；单价50万元以上通用设备0台（套），单价100万元以上专用设备0台（套）。</w:t>
      </w:r>
    </w:p>
    <w:p>
      <w:pPr>
        <w:pStyle w:val="2"/>
        <w:keepNext w:val="0"/>
        <w:keepLines w:val="0"/>
        <w:widowControl/>
        <w:suppressLineNumbers w:val="0"/>
        <w:spacing w:before="75" w:beforeAutospacing="0" w:after="75" w:afterAutospacing="0"/>
        <w:ind w:left="0" w:right="0" w:firstLine="675"/>
        <w:rPr>
          <w:rFonts w:hint="default" w:ascii="Tahoma" w:hAnsi="Tahoma" w:eastAsia="Tahoma" w:cs="Tahoma"/>
          <w:i w:val="0"/>
          <w:caps w:val="0"/>
          <w:color w:val="333333"/>
          <w:spacing w:val="0"/>
          <w:sz w:val="21"/>
          <w:szCs w:val="21"/>
        </w:rPr>
      </w:pPr>
      <w:r>
        <w:rPr>
          <w:rFonts w:hint="default" w:ascii="楷体_GB2312" w:hAnsi="Tahoma" w:eastAsia="楷体_GB2312" w:cs="楷体_GB2312"/>
          <w:b/>
          <w:i w:val="0"/>
          <w:caps w:val="0"/>
          <w:color w:val="333333"/>
          <w:spacing w:val="0"/>
          <w:sz w:val="32"/>
          <w:szCs w:val="32"/>
        </w:rPr>
        <w:t>（四）预算绩效情况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1.绩效目标管理情况。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按照预算绩效管理要求，本部门未对2017年一般公共预算项目支出开展绩效目标管理，共编制绩效目标0个，涉及财政资金0万元，覆盖率达到0%。</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2.部门整体支出绩效自评开展情况。</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按照预算绩效管理要求，本部门未对2017年整体支出开展绩效自评。</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  </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2017年部门整体支出绩效评价得分表</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caps w:val="0"/>
          <w:color w:val="333333"/>
          <w:spacing w:val="0"/>
          <w:sz w:val="21"/>
          <w:szCs w:val="21"/>
        </w:rPr>
      </w:pPr>
      <w:r>
        <w:rPr>
          <w:rFonts w:hint="eastAsia" w:ascii="黑体" w:hAnsi="宋体" w:eastAsia="黑体" w:cs="黑体"/>
          <w:i w:val="0"/>
          <w:caps w:val="0"/>
          <w:color w:val="333333"/>
          <w:spacing w:val="0"/>
          <w:sz w:val="32"/>
          <w:szCs w:val="32"/>
        </w:rPr>
        <w:t> </w:t>
      </w:r>
    </w:p>
    <w:tbl>
      <w:tblPr>
        <w:tblW w:w="8334" w:type="dxa"/>
        <w:jc w:val="center"/>
        <w:tblInd w:w="1"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
      <w:tblGrid>
        <w:gridCol w:w="1693"/>
        <w:gridCol w:w="1906"/>
        <w:gridCol w:w="3303"/>
        <w:gridCol w:w="1432"/>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b/>
                <w:caps w:val="0"/>
                <w:spacing w:val="0"/>
                <w:sz w:val="20"/>
                <w:szCs w:val="20"/>
              </w:rPr>
              <w:t>一级指标</w:t>
            </w:r>
          </w:p>
        </w:tc>
        <w:tc>
          <w:tcPr>
            <w:tcW w:w="1906"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b/>
                <w:caps w:val="0"/>
                <w:spacing w:val="0"/>
                <w:sz w:val="20"/>
                <w:szCs w:val="20"/>
              </w:rPr>
              <w:t>二级指标</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b/>
                <w:caps w:val="0"/>
                <w:spacing w:val="0"/>
                <w:sz w:val="20"/>
                <w:szCs w:val="20"/>
              </w:rPr>
              <w:t>三级指标</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b/>
                <w:caps w:val="0"/>
                <w:spacing w:val="0"/>
                <w:sz w:val="20"/>
                <w:szCs w:val="20"/>
              </w:rPr>
              <w:t>得分</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部门决策（25分）</w:t>
            </w: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目标任务（15分）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相关性（5分）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明确性（5分）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合理性（5分）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预算编制（10分）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测算依据（5分）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目标管理（5分）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综合管理（30分）</w:t>
            </w:r>
          </w:p>
        </w:tc>
        <w:tc>
          <w:tcPr>
            <w:tcW w:w="1906"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中期评估（2分）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执行中期评估（2分）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绩效监控（5分）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预算执行进度监控（2分）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绩效目标动态监控（3分）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非税收入执收情况（2分）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非税收入征收情况（1分）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非税收入上缴情况（1分）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资产管理（6分）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资产管理信息化情况（2分）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行政事业单位资产报告情况（2分）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资产管理与预算管理相结合（2分）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内控制度管理（2分）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内部控制度健全完整（2分）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信息公开（8分）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预算公开（3分）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决算公开（3分）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绩效信息公开（2分）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绩效评价（5分）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绩效评价开展（2分）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评价结果应用（3分）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部门绩效情况（45分）</w:t>
            </w: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履职成效（20分）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部门特性指标</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pPr>
            <w:r>
              <w:rPr>
                <w:rFonts w:hint="eastAsia" w:ascii="宋体" w:hAnsi="宋体" w:eastAsia="宋体" w:cs="宋体"/>
                <w:caps w:val="0"/>
                <w:spacing w:val="0"/>
                <w:sz w:val="20"/>
                <w:szCs w:val="20"/>
              </w:rPr>
              <w:t>可持续发展能力（15分）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重点改革（重点工作）完成情况（5分）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科技（制度、方法、机制等）创新（5分）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人才培养（5分）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restart"/>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满意度（10分）</w:t>
            </w: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协作部门满意度（3分）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管理对象满意度（3分）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5" w:type="dxa"/>
            <w:bottom w:w="15" w:type="dxa"/>
            <w:right w:w="15" w:type="dxa"/>
          </w:tblCellMar>
        </w:tblPrEx>
        <w:trPr>
          <w:jc w:val="center"/>
        </w:trPr>
        <w:tc>
          <w:tcPr>
            <w:tcW w:w="1693"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1906" w:type="dxa"/>
            <w:vMerge w:val="continue"/>
            <w:tcBorders>
              <w:top w:val="dotted" w:color="AAAAAA" w:sz="6" w:space="0"/>
              <w:left w:val="dotted" w:color="AAAAAA" w:sz="6" w:space="0"/>
              <w:bottom w:val="dotted" w:color="AAAAAA" w:sz="6" w:space="0"/>
              <w:right w:val="dotted" w:color="AAAAAA" w:sz="6" w:space="0"/>
            </w:tcBorders>
            <w:shd w:val="clear"/>
            <w:vAlign w:val="center"/>
          </w:tcPr>
          <w:p>
            <w:pPr>
              <w:rPr>
                <w:rFonts w:hint="default" w:ascii="Tahoma" w:hAnsi="Tahoma" w:eastAsia="Tahoma" w:cs="Tahoma"/>
                <w:caps w:val="0"/>
                <w:spacing w:val="0"/>
                <w:sz w:val="18"/>
                <w:szCs w:val="18"/>
              </w:rPr>
            </w:pPr>
          </w:p>
        </w:tc>
        <w:tc>
          <w:tcPr>
            <w:tcW w:w="3303" w:type="dxa"/>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社会公众满意度（4分）</w:t>
            </w:r>
          </w:p>
        </w:tc>
        <w:tc>
          <w:tcPr>
            <w:tcW w:w="1432" w:type="dxa"/>
            <w:tcBorders>
              <w:top w:val="dotted" w:color="AAAAAA" w:sz="6" w:space="0"/>
              <w:left w:val="dotted" w:color="AAAAAA" w:sz="6" w:space="0"/>
              <w:bottom w:val="dotted" w:color="AAAAAA" w:sz="6" w:space="0"/>
              <w:right w:val="dotted" w:color="AAAAAA"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 </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5" w:type="dxa"/>
            <w:bottom w:w="15" w:type="dxa"/>
            <w:right w:w="15" w:type="dxa"/>
          </w:tblCellMar>
        </w:tblPrEx>
        <w:trPr>
          <w:jc w:val="center"/>
        </w:trPr>
        <w:tc>
          <w:tcPr>
            <w:tcW w:w="3599" w:type="dxa"/>
            <w:gridSpan w:val="2"/>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0"/>
                <w:szCs w:val="20"/>
              </w:rPr>
              <w:t>总分</w:t>
            </w:r>
          </w:p>
        </w:tc>
        <w:tc>
          <w:tcPr>
            <w:tcW w:w="4735" w:type="dxa"/>
            <w:gridSpan w:val="2"/>
            <w:tcBorders>
              <w:top w:val="dotted" w:color="AAAAAA" w:sz="6" w:space="0"/>
              <w:left w:val="dotted" w:color="AAAAAA" w:sz="6" w:space="0"/>
              <w:bottom w:val="dotted" w:color="AAAAAA" w:sz="6" w:space="0"/>
              <w:right w:val="dotted" w:color="AAAAAA"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宋体" w:hAnsi="宋体" w:eastAsia="宋体" w:cs="宋体"/>
                <w:caps w:val="0"/>
                <w:spacing w:val="0"/>
                <w:sz w:val="21"/>
                <w:szCs w:val="21"/>
              </w:rPr>
              <w:t> </w:t>
            </w:r>
          </w:p>
        </w:tc>
      </w:tr>
    </w:tbl>
    <w:p>
      <w:pPr>
        <w:pStyle w:val="2"/>
        <w:keepNext w:val="0"/>
        <w:keepLines w:val="0"/>
        <w:widowControl/>
        <w:suppressLineNumbers w:val="0"/>
        <w:spacing w:before="75" w:beforeAutospacing="0" w:after="75" w:afterAutospacing="0"/>
        <w:ind w:left="0" w:right="0" w:firstLine="643"/>
        <w:jc w:val="left"/>
        <w:rPr>
          <w:rFonts w:hint="default" w:ascii="Tahoma" w:hAnsi="Tahoma" w:eastAsia="Tahoma" w:cs="Tahoma"/>
          <w:i w:val="0"/>
          <w:caps w:val="0"/>
          <w:color w:val="333333"/>
          <w:spacing w:val="0"/>
          <w:sz w:val="21"/>
          <w:szCs w:val="21"/>
        </w:rPr>
      </w:pPr>
      <w:r>
        <w:rPr>
          <w:rFonts w:hint="eastAsia" w:ascii="黑体" w:hAnsi="宋体" w:eastAsia="黑体" w:cs="黑体"/>
          <w:b/>
          <w:i w:val="0"/>
          <w:caps w:val="0"/>
          <w:color w:val="333333"/>
          <w:spacing w:val="0"/>
          <w:sz w:val="32"/>
          <w:szCs w:val="32"/>
        </w:rPr>
        <w:t>十、名词解释</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1.财政拨款收入：指县级财政当年拨付的资金。</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2.其他收入：指除上述“财政拨款收入”、“事业收入”、“经营收入”等以外的其他收入。主要是债务置换资金、县级主管部门拨款等。</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3.年初结转和结余：指以前年度尚未完成、结转到本年按有关规定继续使用的资金。</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4.年末结转和结余：指本年度或以前年度预算安排、因客观条件发生变化无法按原计划实施，需延迟到以后年度按有关规定继续使用的资金。</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5.一般公共服务支出（类）政府办公厅（室）及相关机构事务（款）行政运行（项）：指政府机关</w:t>
      </w:r>
      <w:r>
        <w:rPr>
          <w:rFonts w:hint="default" w:ascii="仿宋_GB2312" w:hAnsi="Tahoma" w:eastAsia="仿宋_GB2312" w:cs="仿宋_GB2312"/>
          <w:i w:val="0"/>
          <w:caps w:val="0"/>
          <w:color w:val="333333"/>
          <w:spacing w:val="0"/>
          <w:sz w:val="32"/>
          <w:szCs w:val="32"/>
        </w:rPr>
        <w:t>用于保障机构正常运行、开展日常工作的基本支出。</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一般公共服务支出（类）政府办公厅（室）及相关机构事务（款）一般行政管理事务（项）：指行政单位用于其他</w:t>
      </w:r>
      <w:r>
        <w:rPr>
          <w:rFonts w:hint="default" w:ascii="仿宋_GB2312" w:hAnsi="Tahoma" w:eastAsia="仿宋_GB2312" w:cs="仿宋_GB2312"/>
          <w:i w:val="0"/>
          <w:caps w:val="0"/>
          <w:color w:val="333333"/>
          <w:spacing w:val="0"/>
          <w:sz w:val="32"/>
          <w:szCs w:val="32"/>
        </w:rPr>
        <w:t>项目支出。</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一般公共服务支出（类）党委办公厅（室）及相关机构事务（款）行政运行（项）：指共产党机关</w:t>
      </w:r>
      <w:r>
        <w:rPr>
          <w:rFonts w:hint="default" w:ascii="仿宋_GB2312" w:hAnsi="Tahoma" w:eastAsia="仿宋_GB2312" w:cs="仿宋_GB2312"/>
          <w:i w:val="0"/>
          <w:caps w:val="0"/>
          <w:color w:val="333333"/>
          <w:spacing w:val="0"/>
          <w:sz w:val="32"/>
          <w:szCs w:val="32"/>
        </w:rPr>
        <w:t>用于保障机构正常运行、开展日常工作的基本支出</w:t>
      </w:r>
      <w:r>
        <w:rPr>
          <w:rFonts w:hint="default" w:ascii="仿宋_GB2312" w:hAnsi="Tahoma" w:eastAsia="仿宋_GB2312" w:cs="仿宋_GB2312"/>
          <w:b w:val="0"/>
          <w:i w:val="0"/>
          <w:caps w:val="0"/>
          <w:color w:val="333333"/>
          <w:spacing w:val="0"/>
          <w:sz w:val="32"/>
          <w:szCs w:val="32"/>
        </w:rPr>
        <w:t>。</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6．文化体育与传媒支出（类）文化（款）群众文化（项）: 指文化站</w:t>
      </w:r>
      <w:r>
        <w:rPr>
          <w:rFonts w:hint="default" w:ascii="仿宋_GB2312" w:hAnsi="Tahoma" w:eastAsia="仿宋_GB2312" w:cs="仿宋_GB2312"/>
          <w:i w:val="0"/>
          <w:caps w:val="0"/>
          <w:color w:val="333333"/>
          <w:spacing w:val="0"/>
          <w:sz w:val="32"/>
          <w:szCs w:val="32"/>
        </w:rPr>
        <w:t>用于保障机构正常运行、开展日常工作的基本支出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文化体育与传媒支出（类）文化（款）其他文化支出（项）: 指用于文化站免费开放的项目支出。；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文化体育与传媒支出（类）新闻出版广播影视（款）其他文化体育与传媒支出（项）: 指用于文化共享工程的项目支出。</w:t>
      </w:r>
      <w:r>
        <w:rPr>
          <w:rFonts w:hint="default" w:ascii="仿宋_GB2312" w:hAnsi="Tahoma" w:eastAsia="仿宋_GB2312" w:cs="仿宋_GB2312"/>
          <w:i w:val="0"/>
          <w:caps w:val="0"/>
          <w:color w:val="333333"/>
          <w:spacing w:val="0"/>
          <w:sz w:val="32"/>
          <w:szCs w:val="32"/>
        </w:rPr>
        <w:br w:type="textWrapping"/>
      </w:r>
      <w:r>
        <w:rPr>
          <w:rFonts w:hint="default" w:ascii="仿宋_GB2312" w:hAnsi="Tahoma" w:eastAsia="仿宋_GB2312" w:cs="仿宋_GB2312"/>
          <w:b w:val="0"/>
          <w:i w:val="0"/>
          <w:caps w:val="0"/>
          <w:color w:val="333333"/>
          <w:spacing w:val="0"/>
          <w:sz w:val="32"/>
          <w:szCs w:val="32"/>
        </w:rPr>
        <w:t>7.</w:t>
      </w:r>
      <w:r>
        <w:rPr>
          <w:rFonts w:hint="default" w:ascii="仿宋_GB2312" w:hAnsi="Tahoma" w:eastAsia="仿宋_GB2312" w:cs="仿宋_GB2312"/>
          <w:b/>
          <w:i w:val="0"/>
          <w:caps w:val="0"/>
          <w:color w:val="333333"/>
          <w:spacing w:val="0"/>
          <w:sz w:val="32"/>
          <w:szCs w:val="32"/>
        </w:rPr>
        <w:t> </w:t>
      </w:r>
      <w:r>
        <w:rPr>
          <w:rFonts w:hint="default" w:ascii="仿宋_GB2312" w:hAnsi="Tahoma" w:eastAsia="仿宋_GB2312" w:cs="仿宋_GB2312"/>
          <w:b w:val="0"/>
          <w:i w:val="0"/>
          <w:caps w:val="0"/>
          <w:color w:val="333333"/>
          <w:spacing w:val="0"/>
          <w:sz w:val="32"/>
          <w:szCs w:val="32"/>
        </w:rPr>
        <w:t>社会保障和就业支出（类）行政事业单位离退休（款）机关事业单位基本养老保险缴费支出（项）:  指单位实施养老保险制度由单位缴纳的养老保险费的支出。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社会保障和就业支出（类）抚恤（款）其他抚恤支出（项）:指用于其他抚恤金的项目支出。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8.</w:t>
      </w:r>
      <w:r>
        <w:rPr>
          <w:rFonts w:hint="default" w:ascii="仿宋_GB2312" w:hAnsi="Tahoma" w:eastAsia="仿宋_GB2312" w:cs="仿宋_GB2312"/>
          <w:b/>
          <w:i w:val="0"/>
          <w:caps w:val="0"/>
          <w:color w:val="333333"/>
          <w:spacing w:val="0"/>
          <w:sz w:val="32"/>
          <w:szCs w:val="32"/>
        </w:rPr>
        <w:t> </w:t>
      </w:r>
      <w:r>
        <w:rPr>
          <w:rFonts w:hint="default" w:ascii="仿宋_GB2312" w:hAnsi="Tahoma" w:eastAsia="仿宋_GB2312" w:cs="仿宋_GB2312"/>
          <w:b w:val="0"/>
          <w:i w:val="0"/>
          <w:caps w:val="0"/>
          <w:color w:val="333333"/>
          <w:spacing w:val="0"/>
          <w:sz w:val="32"/>
          <w:szCs w:val="32"/>
        </w:rPr>
        <w:t>医疗卫生与计划生育支出（类）计划生育事务（款）计划生育机构（项）: 指政府</w:t>
      </w:r>
      <w:r>
        <w:rPr>
          <w:rFonts w:hint="default" w:ascii="仿宋_GB2312" w:hAnsi="Tahoma" w:eastAsia="仿宋_GB2312" w:cs="仿宋_GB2312"/>
          <w:i w:val="0"/>
          <w:caps w:val="0"/>
          <w:color w:val="333333"/>
          <w:spacing w:val="0"/>
          <w:sz w:val="32"/>
          <w:szCs w:val="32"/>
        </w:rPr>
        <w:t>用于计生部门保障机构正常运行、开展日常工作的基本支出</w:t>
      </w:r>
      <w:r>
        <w:rPr>
          <w:rFonts w:hint="default" w:ascii="仿宋_GB2312" w:hAnsi="Tahoma" w:eastAsia="仿宋_GB2312" w:cs="仿宋_GB2312"/>
          <w:b w:val="0"/>
          <w:i w:val="0"/>
          <w:caps w:val="0"/>
          <w:color w:val="333333"/>
          <w:spacing w:val="0"/>
          <w:sz w:val="32"/>
          <w:szCs w:val="32"/>
        </w:rPr>
        <w:t>。</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医疗卫生与计划生育支出（类）行政事业单位医疗（款）行政单位医疗（项）: </w:t>
      </w:r>
      <w:r>
        <w:rPr>
          <w:rFonts w:hint="default" w:ascii="仿宋_GB2312" w:hAnsi="Tahoma" w:eastAsia="仿宋_GB2312" w:cs="仿宋_GB2312"/>
          <w:b/>
          <w:i w:val="0"/>
          <w:caps w:val="0"/>
          <w:color w:val="333333"/>
          <w:spacing w:val="0"/>
          <w:sz w:val="28"/>
          <w:szCs w:val="28"/>
        </w:rPr>
        <w:t> </w:t>
      </w:r>
      <w:r>
        <w:rPr>
          <w:rFonts w:hint="default" w:ascii="仿宋_GB2312" w:hAnsi="Tahoma" w:eastAsia="仿宋_GB2312" w:cs="仿宋_GB2312"/>
          <w:i w:val="0"/>
          <w:caps w:val="0"/>
          <w:color w:val="333333"/>
          <w:spacing w:val="0"/>
          <w:sz w:val="32"/>
          <w:szCs w:val="32"/>
        </w:rPr>
        <w:t>指乡机关单位用于缴纳行政（参公）单位基本医疗保险支出。</w:t>
      </w:r>
      <w:r>
        <w:rPr>
          <w:rFonts w:hint="default" w:ascii="仿宋_GB2312" w:hAnsi="Tahoma" w:eastAsia="仿宋_GB2312" w:cs="仿宋_GB2312"/>
          <w:i w:val="0"/>
          <w:caps w:val="0"/>
          <w:color w:val="333333"/>
          <w:spacing w:val="0"/>
          <w:sz w:val="28"/>
          <w:szCs w:val="28"/>
        </w:rPr>
        <w:br w:type="textWrapping"/>
      </w:r>
      <w:r>
        <w:rPr>
          <w:rFonts w:hint="default" w:ascii="仿宋_GB2312" w:hAnsi="Tahoma" w:eastAsia="仿宋_GB2312" w:cs="仿宋_GB2312"/>
          <w:b w:val="0"/>
          <w:i w:val="0"/>
          <w:caps w:val="0"/>
          <w:color w:val="333333"/>
          <w:spacing w:val="0"/>
          <w:sz w:val="32"/>
          <w:szCs w:val="32"/>
        </w:rPr>
        <w:t>    医疗卫生与计划生育支出（类）行政事业单位医疗（款）事业单位医疗（项）: </w:t>
      </w:r>
      <w:r>
        <w:rPr>
          <w:rFonts w:hint="default" w:ascii="仿宋_GB2312" w:hAnsi="Tahoma" w:eastAsia="仿宋_GB2312" w:cs="仿宋_GB2312"/>
          <w:i w:val="0"/>
          <w:caps w:val="0"/>
          <w:color w:val="333333"/>
          <w:spacing w:val="0"/>
          <w:sz w:val="32"/>
          <w:szCs w:val="32"/>
        </w:rPr>
        <w:t>指事业单位用于缴纳单位基本医疗保险支出。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9. 农林水支出（类）农业（款）事业运行（项）:  指政府</w:t>
      </w:r>
      <w:r>
        <w:rPr>
          <w:rFonts w:hint="default" w:ascii="仿宋_GB2312" w:hAnsi="Tahoma" w:eastAsia="仿宋_GB2312" w:cs="仿宋_GB2312"/>
          <w:i w:val="0"/>
          <w:caps w:val="0"/>
          <w:color w:val="333333"/>
          <w:spacing w:val="0"/>
          <w:sz w:val="32"/>
          <w:szCs w:val="32"/>
        </w:rPr>
        <w:t>用于农业服务中心保障机构正常运行、开展日常工作的基本支出</w:t>
      </w:r>
      <w:r>
        <w:rPr>
          <w:rFonts w:hint="default" w:ascii="仿宋_GB2312" w:hAnsi="Tahoma" w:eastAsia="仿宋_GB2312" w:cs="仿宋_GB2312"/>
          <w:b w:val="0"/>
          <w:i w:val="0"/>
          <w:caps w:val="0"/>
          <w:color w:val="333333"/>
          <w:spacing w:val="0"/>
          <w:sz w:val="32"/>
          <w:szCs w:val="32"/>
        </w:rPr>
        <w:t>。</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农林水支出（类）扶贫（款）其他扶贫支出（项）: 指政府用于扶贫工作方面的支出。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农林水支出（类）农村综合改革（款）对村民委员会和村党支部的补助（项）:指政府用于农村基层组织村组干部报酬、村办公经费和运行经费支出。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i w:val="0"/>
          <w:caps w:val="0"/>
          <w:color w:val="333333"/>
          <w:spacing w:val="0"/>
          <w:sz w:val="32"/>
          <w:szCs w:val="32"/>
        </w:rPr>
        <w:t>10．</w:t>
      </w:r>
      <w:r>
        <w:rPr>
          <w:rFonts w:hint="default" w:ascii="仿宋_GB2312" w:hAnsi="Tahoma" w:eastAsia="仿宋_GB2312" w:cs="仿宋_GB2312"/>
          <w:b w:val="0"/>
          <w:i w:val="0"/>
          <w:caps w:val="0"/>
          <w:color w:val="333333"/>
          <w:spacing w:val="0"/>
          <w:sz w:val="32"/>
          <w:szCs w:val="32"/>
        </w:rPr>
        <w:t>商业服务业等支出（类）商业流通事务（款）其他商业流通事务支出（项）: 指政府用于商业流通方面的支出。</w:t>
      </w:r>
    </w:p>
    <w:p>
      <w:pPr>
        <w:pStyle w:val="2"/>
        <w:keepNext w:val="0"/>
        <w:keepLines w:val="0"/>
        <w:widowControl/>
        <w:suppressLineNumbers w:val="0"/>
        <w:spacing w:before="75" w:beforeAutospacing="0" w:after="75" w:afterAutospacing="0"/>
        <w:ind w:left="0" w:right="0" w:firstLine="645"/>
        <w:rPr>
          <w:rFonts w:hint="default" w:ascii="Tahoma" w:hAnsi="Tahoma" w:eastAsia="Tahoma" w:cs="Tahoma"/>
          <w:i w:val="0"/>
          <w:caps w:val="0"/>
          <w:color w:val="333333"/>
          <w:spacing w:val="0"/>
          <w:sz w:val="21"/>
          <w:szCs w:val="21"/>
        </w:rPr>
      </w:pPr>
      <w:r>
        <w:rPr>
          <w:rFonts w:hint="default" w:ascii="仿宋_GB2312" w:hAnsi="Tahoma" w:eastAsia="仿宋_GB2312" w:cs="仿宋_GB2312"/>
          <w:b w:val="0"/>
          <w:i w:val="0"/>
          <w:caps w:val="0"/>
          <w:color w:val="333333"/>
          <w:spacing w:val="0"/>
          <w:sz w:val="32"/>
          <w:szCs w:val="32"/>
        </w:rPr>
        <w:t>11.住房保障支出（类）住房改革支出（款）住房公积金（项）:</w:t>
      </w:r>
      <w:r>
        <w:rPr>
          <w:rFonts w:hint="default" w:ascii="仿宋_GB2312" w:hAnsi="Tahoma" w:eastAsia="仿宋_GB2312" w:cs="仿宋_GB2312"/>
          <w:i w:val="0"/>
          <w:caps w:val="0"/>
          <w:color w:val="333333"/>
          <w:spacing w:val="0"/>
          <w:sz w:val="28"/>
          <w:szCs w:val="28"/>
        </w:rPr>
        <w:t> </w:t>
      </w:r>
      <w:r>
        <w:rPr>
          <w:rFonts w:hint="default" w:ascii="仿宋_GB2312" w:hAnsi="Tahoma" w:eastAsia="仿宋_GB2312" w:cs="仿宋_GB2312"/>
          <w:i w:val="0"/>
          <w:caps w:val="0"/>
          <w:color w:val="333333"/>
          <w:spacing w:val="0"/>
          <w:sz w:val="32"/>
          <w:szCs w:val="32"/>
        </w:rPr>
        <w:t>指按照《住房公积金管理条例》的规定，由单位及其在职职工缴存的长期住房储金。</w:t>
      </w:r>
      <w:r>
        <w:rPr>
          <w:rFonts w:hint="default" w:ascii="仿宋_GB2312" w:hAnsi="Tahoma" w:eastAsia="仿宋_GB2312" w:cs="仿宋_GB2312"/>
          <w:b w:val="0"/>
          <w:i w:val="0"/>
          <w:caps w:val="0"/>
          <w:color w:val="333333"/>
          <w:spacing w:val="0"/>
          <w:sz w:val="32"/>
          <w:szCs w:val="32"/>
        </w:rPr>
        <w:t> </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12.年末结转和结余：指本年度或以前年度预算安排、因客观条件发生变化无法按原计划实施，需延迟到以后年度按有关规定继续使用的资金。</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13.基本支出：指为保障机构正常运转、完成日常工作任务而发生的人员支出和公用支出。</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14.项目支出：指在基本支出之外为完成特定行政任务和事业发展目标所发生的支出。</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15.“三公”经费：纳入县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pStyle w:val="2"/>
        <w:keepNext w:val="0"/>
        <w:keepLines w:val="0"/>
        <w:widowControl/>
        <w:suppressLineNumbers w:val="0"/>
        <w:spacing w:before="75" w:beforeAutospacing="0" w:after="75" w:afterAutospacing="0"/>
        <w:ind w:left="0" w:right="0" w:firstLine="64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16.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
        <w:keepNext w:val="0"/>
        <w:keepLines w:val="0"/>
        <w:widowControl/>
        <w:suppressLineNumbers w:val="0"/>
        <w:spacing w:before="75" w:beforeAutospacing="0" w:after="75" w:afterAutospacing="0"/>
        <w:ind w:left="0" w:right="0" w:firstLine="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 </w:t>
      </w:r>
    </w:p>
    <w:p>
      <w:pPr>
        <w:pStyle w:val="2"/>
        <w:keepNext w:val="0"/>
        <w:keepLines w:val="0"/>
        <w:widowControl/>
        <w:suppressLineNumbers w:val="0"/>
        <w:spacing w:before="75" w:beforeAutospacing="0" w:after="75" w:afterAutospacing="0"/>
        <w:ind w:left="0" w:right="0" w:firstLine="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 </w:t>
      </w:r>
    </w:p>
    <w:p>
      <w:pPr>
        <w:pStyle w:val="2"/>
        <w:keepNext w:val="0"/>
        <w:keepLines w:val="0"/>
        <w:widowControl/>
        <w:suppressLineNumbers w:val="0"/>
        <w:spacing w:before="75" w:beforeAutospacing="0" w:after="75" w:afterAutospacing="0"/>
        <w:ind w:left="0" w:right="0" w:firstLine="320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                  苍溪县双河乡人民政府</w:t>
      </w:r>
    </w:p>
    <w:p>
      <w:pPr>
        <w:pStyle w:val="2"/>
        <w:keepNext w:val="0"/>
        <w:keepLines w:val="0"/>
        <w:widowControl/>
        <w:suppressLineNumbers w:val="0"/>
        <w:spacing w:before="75" w:beforeAutospacing="0" w:after="75" w:afterAutospacing="0"/>
        <w:ind w:left="0" w:right="0" w:firstLine="0"/>
        <w:rPr>
          <w:rFonts w:hint="default" w:ascii="Tahoma" w:hAnsi="Tahoma" w:eastAsia="Tahoma" w:cs="Tahoma"/>
          <w:i w:val="0"/>
          <w:caps w:val="0"/>
          <w:color w:val="333333"/>
          <w:spacing w:val="0"/>
          <w:sz w:val="21"/>
          <w:szCs w:val="21"/>
        </w:rPr>
      </w:pPr>
      <w:r>
        <w:rPr>
          <w:rFonts w:hint="default" w:ascii="仿宋_GB2312" w:hAnsi="Tahoma" w:eastAsia="仿宋_GB2312" w:cs="仿宋_GB2312"/>
          <w:i w:val="0"/>
          <w:caps w:val="0"/>
          <w:color w:val="333333"/>
          <w:spacing w:val="0"/>
          <w:sz w:val="32"/>
          <w:szCs w:val="32"/>
        </w:rPr>
        <w:t>                                     </w:t>
      </w:r>
      <w:r>
        <w:rPr>
          <w:rFonts w:hint="eastAsia" w:ascii="仿宋_GB2312" w:hAnsi="Tahoma" w:eastAsia="仿宋_GB2312" w:cs="仿宋_GB2312"/>
          <w:i w:val="0"/>
          <w:caps w:val="0"/>
          <w:color w:val="333333"/>
          <w:spacing w:val="0"/>
          <w:sz w:val="32"/>
          <w:szCs w:val="32"/>
          <w:lang w:val="en-US" w:eastAsia="zh-CN"/>
        </w:rPr>
        <w:t xml:space="preserve">           </w:t>
      </w:r>
      <w:r>
        <w:rPr>
          <w:rFonts w:hint="default" w:ascii="仿宋_GB2312" w:hAnsi="Tahoma" w:eastAsia="仿宋_GB2312" w:cs="仿宋_GB2312"/>
          <w:i w:val="0"/>
          <w:caps w:val="0"/>
          <w:color w:val="333333"/>
          <w:spacing w:val="0"/>
          <w:sz w:val="32"/>
          <w:szCs w:val="32"/>
        </w:rPr>
        <w:t> 2018年8月24日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D741D9"/>
    <w:rsid w:val="3DD741D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2018-08-27T09:09:00Z</dcterms:created>
  <dc:creator>死地后生</dc:creator>
  <cp:lastModifiedBy>死地后生</cp:lastModifiedBy>
  <dcterms:modified xsi:type="dcterms:W3CDTF">2018-08-27T09:11:52Z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