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75" w:beforeAutospacing="0" w:after="75" w:afterAutospacing="0"/>
        <w:ind w:left="0" w:right="0" w:firstLine="640"/>
        <w:jc w:val="center"/>
        <w:rPr>
          <w:rFonts w:hint="eastAsia" w:ascii="黑体" w:hAnsi="黑体" w:eastAsia="黑体" w:cs="黑体"/>
          <w:b/>
          <w:bCs/>
          <w:i w:val="0"/>
          <w:caps w:val="0"/>
          <w:color w:val="000000"/>
          <w:spacing w:val="0"/>
          <w:sz w:val="40"/>
          <w:szCs w:val="40"/>
        </w:rPr>
      </w:pPr>
      <w:r>
        <w:rPr>
          <w:rFonts w:hint="eastAsia" w:ascii="黑体" w:hAnsi="黑体" w:eastAsia="黑体" w:cs="黑体"/>
          <w:b/>
          <w:bCs/>
          <w:i w:val="0"/>
          <w:caps w:val="0"/>
          <w:color w:val="000000"/>
          <w:spacing w:val="0"/>
          <w:sz w:val="40"/>
          <w:szCs w:val="40"/>
        </w:rPr>
        <w:t>中国共产党苍溪县统战部</w:t>
      </w:r>
    </w:p>
    <w:p>
      <w:pPr>
        <w:pStyle w:val="2"/>
        <w:keepNext w:val="0"/>
        <w:keepLines w:val="0"/>
        <w:widowControl/>
        <w:suppressLineNumbers w:val="0"/>
        <w:spacing w:before="75" w:beforeAutospacing="0" w:after="75" w:afterAutospacing="0"/>
        <w:ind w:left="0" w:right="0" w:firstLine="640"/>
        <w:jc w:val="center"/>
        <w:rPr>
          <w:rFonts w:hint="eastAsia" w:ascii="黑体" w:hAnsi="黑体" w:eastAsia="黑体" w:cs="黑体"/>
          <w:b/>
          <w:bCs/>
          <w:i w:val="0"/>
          <w:caps w:val="0"/>
          <w:color w:val="000000"/>
          <w:spacing w:val="0"/>
          <w:sz w:val="40"/>
          <w:szCs w:val="40"/>
        </w:rPr>
      </w:pPr>
      <w:r>
        <w:rPr>
          <w:rFonts w:hint="eastAsia" w:ascii="黑体" w:hAnsi="黑体" w:eastAsia="黑体" w:cs="黑体"/>
          <w:b/>
          <w:bCs/>
          <w:i w:val="0"/>
          <w:caps w:val="0"/>
          <w:color w:val="000000"/>
          <w:spacing w:val="0"/>
          <w:sz w:val="40"/>
          <w:szCs w:val="40"/>
        </w:rPr>
        <w:t>2017年部门决算编制</w:t>
      </w:r>
    </w:p>
    <w:p>
      <w:pPr>
        <w:pStyle w:val="2"/>
        <w:keepNext w:val="0"/>
        <w:keepLines w:val="0"/>
        <w:widowControl/>
        <w:suppressLineNumbers w:val="0"/>
        <w:spacing w:before="75" w:beforeAutospacing="0" w:after="75" w:afterAutospacing="0"/>
        <w:ind w:right="0"/>
        <w:rPr>
          <w:rFonts w:ascii="font-size:16pt;" w:hAnsi="font-size:16pt;" w:eastAsia="font-size:16pt;" w:cs="font-size:16pt;"/>
          <w:i w:val="0"/>
          <w:caps w:val="0"/>
          <w:color w:val="000000"/>
          <w:spacing w:val="0"/>
          <w:sz w:val="21"/>
          <w:szCs w:val="21"/>
        </w:rPr>
      </w:pPr>
    </w:p>
    <w:p>
      <w:pPr>
        <w:pStyle w:val="2"/>
        <w:keepNext w:val="0"/>
        <w:keepLines w:val="0"/>
        <w:widowControl/>
        <w:suppressLineNumbers w:val="0"/>
        <w:spacing w:before="75" w:beforeAutospacing="0" w:after="75" w:afterAutospacing="0"/>
        <w:ind w:right="0" w:firstLine="560" w:firstLineChars="200"/>
        <w:rPr>
          <w:rFonts w:ascii="Tahoma" w:hAnsi="Tahoma" w:eastAsia="Tahoma" w:cs="Tahoma"/>
          <w:i w:val="0"/>
          <w:caps w:val="0"/>
          <w:color w:val="333333"/>
          <w:spacing w:val="0"/>
          <w:sz w:val="28"/>
          <w:szCs w:val="28"/>
        </w:rPr>
      </w:pPr>
      <w:r>
        <w:rPr>
          <w:rFonts w:ascii="font-size:16pt;" w:hAnsi="font-size:16pt;" w:eastAsia="font-size:16pt;" w:cs="font-size:16pt;"/>
          <w:i w:val="0"/>
          <w:caps w:val="0"/>
          <w:color w:val="000000"/>
          <w:spacing w:val="0"/>
          <w:sz w:val="28"/>
          <w:szCs w:val="28"/>
        </w:rPr>
        <w:t>一、基本职能及主要工作</w:t>
      </w:r>
    </w:p>
    <w:p>
      <w:pPr>
        <w:pStyle w:val="2"/>
        <w:keepNext w:val="0"/>
        <w:keepLines w:val="0"/>
        <w:widowControl/>
        <w:suppressLineNumbers w:val="0"/>
        <w:spacing w:before="75" w:beforeAutospacing="0" w:after="75" w:afterAutospacing="0"/>
        <w:ind w:left="0" w:right="0" w:firstLine="672"/>
        <w:rPr>
          <w:rFonts w:hint="default" w:ascii="Tahoma" w:hAnsi="Tahoma" w:eastAsia="Tahoma" w:cs="Tahoma"/>
          <w:i w:val="0"/>
          <w:caps w:val="0"/>
          <w:color w:val="333333"/>
          <w:spacing w:val="0"/>
          <w:sz w:val="28"/>
          <w:szCs w:val="28"/>
        </w:rPr>
      </w:pPr>
      <w:r>
        <w:rPr>
          <w:rFonts w:hint="default" w:ascii="font-size:16pt;" w:hAnsi="font-size:16pt;" w:eastAsia="font-size:16pt;" w:cs="font-size:16pt;"/>
          <w:i w:val="0"/>
          <w:caps w:val="0"/>
          <w:color w:val="000000"/>
          <w:spacing w:val="0"/>
          <w:sz w:val="28"/>
          <w:szCs w:val="28"/>
        </w:rPr>
        <w:t>（一）主要职能。</w:t>
      </w:r>
      <w:r>
        <w:rPr>
          <w:rFonts w:hint="default" w:ascii="font-size:16pt;" w:hAnsi="font-size:16pt;" w:eastAsia="font-size:16pt;" w:cs="font-size:16pt;"/>
          <w:i w:val="0"/>
          <w:caps w:val="0"/>
          <w:color w:val="000000"/>
          <w:spacing w:val="0"/>
          <w:sz w:val="28"/>
          <w:szCs w:val="28"/>
          <w:shd w:val="clear" w:fill="FFFF00"/>
        </w:rPr>
        <w:t>（职能参照县政府批准的三定方案）</w:t>
      </w:r>
    </w:p>
    <w:p>
      <w:pPr>
        <w:pStyle w:val="2"/>
        <w:keepNext w:val="0"/>
        <w:keepLines w:val="0"/>
        <w:widowControl/>
        <w:suppressLineNumbers w:val="0"/>
        <w:spacing w:before="75" w:beforeAutospacing="0" w:after="75" w:afterAutospacing="0"/>
        <w:ind w:left="0" w:right="0" w:firstLine="672"/>
        <w:rPr>
          <w:rFonts w:hint="eastAsia" w:ascii="宋体" w:hAnsi="宋体" w:eastAsia="宋体" w:cs="宋体"/>
          <w:i w:val="0"/>
          <w:caps w:val="0"/>
          <w:color w:val="333333"/>
          <w:spacing w:val="0"/>
          <w:sz w:val="28"/>
          <w:szCs w:val="28"/>
        </w:rPr>
      </w:pPr>
      <w:r>
        <w:rPr>
          <w:rFonts w:hint="default" w:ascii="font-size:16pt;" w:hAnsi="font-size:16pt;" w:eastAsia="font-size:16pt;" w:cs="font-size:16pt;"/>
          <w:i w:val="0"/>
          <w:caps w:val="0"/>
          <w:color w:val="000000"/>
          <w:spacing w:val="0"/>
          <w:sz w:val="28"/>
          <w:szCs w:val="28"/>
        </w:rPr>
        <w:t>（二）</w:t>
      </w:r>
      <w:r>
        <w:rPr>
          <w:rFonts w:hint="eastAsia" w:ascii="宋体" w:hAnsi="宋体" w:eastAsia="宋体" w:cs="宋体"/>
          <w:i w:val="0"/>
          <w:caps w:val="0"/>
          <w:color w:val="000000"/>
          <w:spacing w:val="0"/>
          <w:sz w:val="28"/>
          <w:szCs w:val="28"/>
        </w:rPr>
        <w:t>2017年重点工作完成情况。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8"/>
          <w:szCs w:val="28"/>
        </w:rPr>
      </w:pPr>
      <w:r>
        <w:rPr>
          <w:rFonts w:hint="eastAsia" w:ascii="宋体" w:hAnsi="宋体" w:eastAsia="宋体" w:cs="宋体"/>
          <w:i w:val="0"/>
          <w:caps w:val="0"/>
          <w:color w:val="333333"/>
          <w:spacing w:val="0"/>
          <w:sz w:val="28"/>
          <w:szCs w:val="28"/>
        </w:rPr>
        <w:t>1、大统战工作格局基本形成</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22"/>
          <w:szCs w:val="22"/>
        </w:rPr>
        <w:t>    </w:t>
      </w:r>
      <w:r>
        <w:rPr>
          <w:rFonts w:hint="eastAsia" w:ascii="宋体" w:hAnsi="宋体" w:eastAsia="宋体" w:cs="宋体"/>
          <w:i w:val="0"/>
          <w:caps w:val="0"/>
          <w:color w:val="333333"/>
          <w:spacing w:val="0"/>
          <w:sz w:val="32"/>
          <w:szCs w:val="22"/>
        </w:rPr>
        <w:t>县委高度重视统战工作，县委常委会先后四次进行专题研究；落实了常委担任统战部部长规定；成立了县委统一战线工作领导小组，先后召开领导小组会议两次;在全县39各乡镇全部配备了统战委员，在统战工作重点单位、“两新”组织落实了统战工作联络员；印发了《中共苍溪县委统一战线工作领导小组工作规则》《中共苍溪县委统一战线工作领导小组办公室工作细则》；召开了全县统战暨民族宗教工作会议；统战工作纳入全县目标绩效考核内容（分值2分）；党外代表人士队伍建设纳入全县干部培养总体规划；统一战线工作纳入县委宣传工作计划和县委党校培训课程。县委统一领导、统战部牵头协调、有关方面各负其责的大统战工作格局基本形成。</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2、民主政治建设稳步推进</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1）支持民主党派加强自身建设。承办了农工党四川省委、成都市委、广元市委在我县开展的“不忘合作初心，继续携手前进”政治交接学习教育活动和第二十九届中国“国际科学与和平周”活动。在民主党派基层组织中深入开展“不忘合作初心，继续携手前进”政治交接学习教育活动，以参观红军渡纪念馆和黄猫垭战役遗址、宣讲党的十九大精神、选派民主党派骨干成员参加上级调训等方式，扎实推进民主党派政治交接。坚持民主党派成员发展与统战部联合考察，考察发展民主党派新成员15名。组织民主党派成员赴剑阁、红军渡等地开展廉政建设教育活动，三个民主党派基层组织均建立了党派内部监督制度。</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2）大力推进民主政治建设。推动县委同各民主党派、无党派代表人士开展政治协商，印发了《2017年政党协商（会议协商）计划》；建立了《副县级以上党员领导干部同党外代表人士联谊交友制度》《政府部门对口联系民主党派工商联制度》，先后召开政党协商会、情况通报会2次。民主党派、无党派代表人士的协商能力进一步加强，全县民主党派成员、各级党外人大代表和政协委员积极履行参政议政职能，围绕改革发展提交各类建议、提案40多件。致公党中央先后两次赴我县开展脱贫攻坚民主监督和扶贫捐赠活动，为我县文昌镇捐赠产业发展资金60万元，捐赠毛毯、笔记本电脑、御寒冬衣等物资价值20余万元；民进广元市委先后两次赴我县开展脱贫攻坚民主监督。</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（3）认真做实民主党派社会服务品牌。民盟依托 “烛光行动”和“盟医共建”，帮助加强农村教师队伍建设，推动城乡义务教育均衡发展，继续做好“康桥光明行动”特色眼科项目的后续服务工作，深入贫困村开展送医送药送健康义诊活动；民进依托“进教彩虹行动”，促成四川信息职业技术学院对苍溪职中师资培养、技能竞赛、教育科研等多方面进行实质性帮扶；九三学社依托“九广合作”，促成九三学社河北省委“同心康福”医疗队对50名脑瘫患者进行了筛查，提供了治疗方案，开具了药物，并对4名情况严重的患者进行免费手术治疗。邀请九三学社陕西省委、南充市委专家到我县开展“九广合作，助力三农”考察活动，为群众赠送高产常规水稻种黄华占200公斤，在雍河乡石牛村建立九广合作示范基地200亩。</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3）不断加强党外代表人士队伍建设。认真贯彻落实广委发〔2013〕41号文件精神，党外人士在人大代表（常委）、政协委员（常委）中的比例，党外干部在县级领导班子、人大和政协委室中的任职情况（县政协空缺1名党外副主席），均达到了广委发〔2013〕41号文件要求。24个政府工作部门领导班子中有文广新局、教科局、环保局、审计局等6个部门配备了党外干部，39个乡镇人民政府领导班子中有文昌、歧坪、月山、中土等8个乡镇配备了党外副乡镇长。县人民医院、县中医医院、县妇幼保健院等三家县级医院配备了党外副院长，苍溪中学、苍溪城郊中学等两所县城高完中配备了党外副校长。县委着眼于2021年换届，注重党外干部梯队培养，2017年新提拔使用党外干部5人，交流重用3人，全县副科级以上实职党外干部达到50人。</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3、经济领域统战工作成效明显</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1）积极引导非公有制经济人士健康成长。深入开展以“守法诚信、坚定信心”为重点的理想信念教育活动和多种形式的争做中国特色社会主义建设者学习实践活动，切实提高非公有制经济人士思想政治素质。引导非公有制经济人士积极投身“光彩事业”，非公有制经济人士捐资助学、扶贫济困、修桥铺路等累计出资达3000余万元；在苍溪电视台、苍溪统战微信公众号、工商联网站开设活动专栏，及时反映工作动态，公开评选和大力宣传返乡创业10大领军人物。做好公有制经济人士政治安排，2017年增补县政协委员3人，增补兼职县工商联副主席3人，常委9人，执委10人。</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2）主动服务非公有制经济健康发展。组织非公有制经济人士参加省市现代企业管理培训、宏观经济形势讲座。召开银企对接推介洽谈会2场次。开展走基层、解企忧等活动，走访慰问困难会员企业12家，协调解决融资发展等难题2起。抓好投资促进，先后到浙江宁波、杭州、萧山、石家庄、成都、重庆等地开展项目考察投资洽谈活动18批次，成功引进成都制鞋企业，达成天然气发电等意向合作项目8个，对接来苍考察团队15批次。积极引导各异地商会组织会员企业返乡创业，成都苍溪商会招引的总投资1.08亿元的川北艾草种植加工康养休闲度假养生风情小镇项目落户我县。黄猫垭商会着力开发红色旅游，投资500万元着手高台寺李家院黄猫垭战役指挥所及战地医院恢复工作。新观商会举行了“祭祖感恩，以文招商”系列活动，新观乡政府与8位在外成功企业家签订了返乡创业项目协议。</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2）深入推进工商联（商会）基层组织建设。着力巩固全国、全省“五好”县级工商联成果，在全县商会组织中开展创建“四好”商会工作，改建岳东、唤马溪2个地域商会，筹建了龙王、新观、龙洞、云峰、石门等商会。巩固了11个基层商会党支部、2个行业商会党支部、2个异地商会党支部，重庆苍溪商会顺利完成换届并成立中共苍溪县驻渝流动党员委员会。全县旅外商会3个，会员300余人。与阆中市工商联共建阆苍福建商会。县属7家行业商会、协会涵盖全县特色产业。县文化产业商会党支部建成市、县“两新”组织“两学一做”学习教育示范点。</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4、民族宗教领域总体保持和谐稳定</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1）进一步完善民族宗教工作体制机制。成立了苍溪县民族宗教工作领导小组，建立了苍溪县领导干部联系宗教场所制度。充分发挥民族宗教工作联席会议制度作用，先后召开民族宗教工作联席会议4次，协调解决了宝云寺建设、云台观排危等问题。</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2）进一步稳妥推进少数民族工作。落实好有清真饮食习惯少数民族生活补贴，化解流动少数民族人员摆摊设点引发的矛盾纠纷；争取少数民族发展资金项目2个，到位资金60万元；积极协助苍溪职中在“9+3”学生中开展“五项教育”，来自九寨、红原、汶川等10多个县的近100名藏区学生在苍溪职中生活学习。</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3）进一步加强宗教事务规范化管理。顺利完成了真武宫承办的省道协正一派第五届传度活动，来自美国、台湾及国内的200余名受度人员在西武当山真武宫顺利受度；扎实推进法律进寺庙活动，开展了6次法律法规集中学习宣传活动，对党的十九大精神和新修订的《宗教事务条例》专题宣讲；继续开展和谐寺观教堂创建活动，宗教活动场所教风方面突出问题得到有效解决，宗教活动场所规范化建设取得明显成效；完成了我县境内227处民间信仰活动场所调查甄别工作，形成了苍溪县民间信仰活动场所及其活动现状的调研报告。对白鹤武皇村、陵江镇姐妹按摩店、月山乡柴荆村等非法传教风险点保持高度警惕，防止了非法传教事件发生，妥善处置元坝镇张王社区非法传教工作经验得到市委常委、统战部部长郑蓉肯定性批示。引导宗教界积极开展宗教慈善周活动，为东溪镇花园村捐款捐物价值近2万元。</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4、港澳台海外统战工作扎实有效</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组织台侨联理事和台侨属代表参观寻乐书岩、三会现代农业园区等重点工程，感受家乡变化，开展交流联谊，统一思想认识。密切海峡两岸人员交流，先后接待了台湾现代农业考察团、台湾云林县农会考察团、台湾高雄市基层代表团以及回乡探亲、办事的台胞100余人次，台湾嗣汉道教协会会长张道祯先后两次到云台观寻根祭祖，我县独立组织的“苍溪县社区文化建设和康养旅游考察团”于11月成功赴台考察学习。成都台商协会常年资助我县近60名贫困学生，年资助现金近10万元。积极协助我县三所中学积极参与千才万事会员学校活动，千才万事公司今年先后两次赴苍溪举行“西部故”事原创作品大赛颁奖仪式，11年来，千才万事公司已累计向我县城郊中学、实验中学、苍溪职中提供各项奖励资助达70余万元。主动争取省委台办、市委台办支持，省委台办全体干部职工先后3批70余人次赴红军渡开展革命传统教育，苍溪台办被省委台办表彰为“全省对台工作先进集体”。   </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5、多个领域统战工作实现创新突破</w:t>
      </w:r>
    </w:p>
    <w:p>
      <w:pPr>
        <w:pStyle w:val="2"/>
        <w:keepNext w:val="0"/>
        <w:keepLines w:val="0"/>
        <w:widowControl/>
        <w:suppressLineNumbers w:val="0"/>
        <w:spacing w:before="75" w:beforeAutospacing="0" w:after="75" w:afterAutospacing="0"/>
        <w:ind w:right="0" w:firstLine="320" w:firstLineChars="10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（1）成立了党外知识分子联谊会和新的社会阶层人士联谊会。</w:t>
      </w:r>
    </w:p>
    <w:p>
      <w:pPr>
        <w:pStyle w:val="2"/>
        <w:keepNext w:val="0"/>
        <w:keepLines w:val="0"/>
        <w:widowControl/>
        <w:suppressLineNumbers w:val="0"/>
        <w:spacing w:before="75" w:beforeAutospacing="0" w:after="75" w:afterAutospacing="0"/>
        <w:ind w:right="0" w:firstLine="320" w:firstLineChars="10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（2）完成了红军渡四川统一战线中国特色社会主义教育基地建设。   </w:t>
      </w:r>
    </w:p>
    <w:p>
      <w:pPr>
        <w:pStyle w:val="2"/>
        <w:keepNext w:val="0"/>
        <w:keepLines w:val="0"/>
        <w:widowControl/>
        <w:suppressLineNumbers w:val="0"/>
        <w:spacing w:before="75" w:beforeAutospacing="0" w:after="75" w:afterAutospacing="0"/>
        <w:ind w:right="0" w:firstLine="320" w:firstLineChars="10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（3）返乡创业人员统战工作成效显著。</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全县成功回引120多名在外成功人士返乡创业，实施创业兴业项目200多个，回引资金近5亿元。</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4）统一战线助推脱贫攻坚扎实有效。整合统一战线力量助推脱贫攻坚。中华职教社在苍溪职中实施“温暖工程”，资助贫困学生50名，到位资金10万元；北京志远功臣基金、四川普善协会长期资助我县健在的10名国民党抗战老兵，每年到位资金近20万元；北京市光彩事业促进会向亭子镇幼儿园捐赠图书、县全镇65岁慰问品等物资，值达到400余万元；苍溪县黄猫垭商会会长罗洪，流转土地3000亩，建立黄猫垭现代农业观光园，带领临近两个村3000多人脱贫奔康。</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5）统战信息宣传和理论调研工作再创佳绩。九三学社社员胡锦援建雅安芦山地震灾区产业重建先进事迹《殷殷援建情，“红心”驻芦山》被中央统战部网站和《中国统一战线》杂志刊登，4月7日《广元日报》整版报道苍溪统战工作，建立了“苍溪统战”微信公众号、“苍溪统一战线”QQ群，印发《苍溪县统战工作使用手册》1000册。多条（篇）信息宣传稿件被各级媒体刊物采用，中央统战部采用1条（篇），省委统战部采用8条（篇），市委统战部采用30条（篇），报送调研文章和理论创新成果3篇。</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7、全县统战工作创先争优不断取得新成绩</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333333"/>
          <w:spacing w:val="0"/>
          <w:sz w:val="32"/>
          <w:szCs w:val="22"/>
        </w:rPr>
        <w:t>  红军渡被省委统战部命名为全省第二批“四川统一战线中国特色社会主义教育基地”; 红军渡·西武当山景区被省委宣传部、省委统战部、省民宗委命名为第三批全省民族团结进步创建活动示范景区；县委统战部荣获2016年度全县目标绩效考核一等奖，继续保持全市最佳文明单位称号；县委台办荣获全省对台工作先进集体；县工商联顺利通过全国、全省“五好”县级工商迎检复查；县工商、黄猫垭商会分别被省工商联表彰为“万企帮万村”先进集体和先进商（协）会；黄猫垭商会荣获全国“万企帮万村”精准扶贫行动“先进民营企业”称号。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二、部门概况</w:t>
      </w:r>
    </w:p>
    <w:p>
      <w:pPr>
        <w:pStyle w:val="2"/>
        <w:keepNext w:val="0"/>
        <w:keepLines w:val="0"/>
        <w:widowControl/>
        <w:suppressLineNumbers w:val="0"/>
        <w:spacing w:before="75" w:beforeAutospacing="0" w:after="75" w:afterAutospacing="0"/>
        <w:ind w:left="0" w:right="0" w:firstLine="672"/>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中国共产党苍溪县统战部（以下简称“本部门”）下属二级单位0个，其中行政单位0个，参照公务员法管理的事业单位**个，其他事业单位0个。</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三、收支决算总体情况说明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2017年本部门本年收入合计140.14万元，其中：一般公共预算财政拨款收入132.64万元，占94.66%；其他收入7.5万元，占5.34%。</w:t>
      </w:r>
      <w:r>
        <w:rPr>
          <w:rFonts w:hint="eastAsia" w:ascii="宋体" w:hAnsi="宋体" w:eastAsia="宋体" w:cs="宋体"/>
          <w:i w:val="0"/>
          <w:caps w:val="0"/>
          <w:color w:val="333333"/>
          <w:spacing w:val="0"/>
          <w:sz w:val="32"/>
          <w:szCs w:val="36"/>
        </w:rPr>
        <w:t>本年收入较上年度减少55.82万元，下降39.83%，减少</w:t>
      </w:r>
      <w:r>
        <w:rPr>
          <w:rFonts w:hint="eastAsia" w:ascii="宋体" w:hAnsi="宋体" w:eastAsia="宋体" w:cs="宋体"/>
          <w:b w:val="0"/>
          <w:i w:val="0"/>
          <w:caps w:val="0"/>
          <w:color w:val="333333"/>
          <w:spacing w:val="0"/>
          <w:sz w:val="32"/>
          <w:szCs w:val="36"/>
        </w:rPr>
        <w:t>主要原因是人员调出和项目经费减少</w:t>
      </w:r>
      <w:r>
        <w:rPr>
          <w:rFonts w:hint="eastAsia" w:ascii="宋体" w:hAnsi="宋体" w:eastAsia="宋体" w:cs="宋体"/>
          <w:i w:val="0"/>
          <w:caps w:val="0"/>
          <w:color w:val="000000"/>
          <w:spacing w:val="0"/>
          <w:sz w:val="32"/>
          <w:szCs w:val="36"/>
        </w:rPr>
        <w:t>。</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36"/>
        </w:rPr>
        <w:t>2017年本部门本年支出合计157.83万元，其中：基本支出106.64万元，占67.57%；项目支出51.69万元，占32.43%。</w:t>
      </w:r>
      <w:r>
        <w:rPr>
          <w:rFonts w:hint="eastAsia" w:ascii="宋体" w:hAnsi="宋体" w:eastAsia="宋体" w:cs="宋体"/>
          <w:i w:val="0"/>
          <w:caps w:val="0"/>
          <w:color w:val="333333"/>
          <w:spacing w:val="0"/>
          <w:sz w:val="32"/>
          <w:szCs w:val="36"/>
        </w:rPr>
        <w:t>本年支出较上年度增减少53.61万元，下降33.97%，减少</w:t>
      </w:r>
      <w:r>
        <w:rPr>
          <w:rFonts w:hint="eastAsia" w:ascii="宋体" w:hAnsi="宋体" w:eastAsia="宋体" w:cs="宋体"/>
          <w:b w:val="0"/>
          <w:i w:val="0"/>
          <w:caps w:val="0"/>
          <w:color w:val="333333"/>
          <w:spacing w:val="0"/>
          <w:sz w:val="32"/>
          <w:szCs w:val="36"/>
        </w:rPr>
        <w:t>主要原因是人员调出减少和经费开支节约</w:t>
      </w:r>
      <w:r>
        <w:rPr>
          <w:rFonts w:hint="eastAsia" w:ascii="宋体" w:hAnsi="宋体" w:eastAsia="宋体" w:cs="宋体"/>
          <w:i w:val="0"/>
          <w:caps w:val="0"/>
          <w:color w:val="333333"/>
          <w:spacing w:val="0"/>
          <w:sz w:val="32"/>
          <w:szCs w:val="36"/>
        </w:rPr>
        <w:t>。</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四、财政拨款收入支出决算总体情况说明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2017年度本部门财政拨款收入总计159.52万元、财政拨款支出总计157.83万元。与2016年相比，财政拨款收入减少26.43万元，下降16.57%、财政拨款支出总计减少44.61万元，下降28.26%。</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五、一般公共预算财政拨款支出决算情况说明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2"/>
        </w:rPr>
      </w:pPr>
      <w:r>
        <w:rPr>
          <w:rFonts w:hint="eastAsia" w:ascii="宋体" w:hAnsi="宋体" w:eastAsia="宋体" w:cs="宋体"/>
          <w:i w:val="0"/>
          <w:caps w:val="0"/>
          <w:color w:val="000000"/>
          <w:spacing w:val="0"/>
          <w:sz w:val="32"/>
          <w:szCs w:val="22"/>
        </w:rPr>
        <w:t>（一）一般公共预算财政拨款支出决算总体情况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2017年度本部门一般公共预算财政拨款支出148.83万元，占本年支出合计的94.30%。与2016年相比，一般公共预算财政拨款减少53.32万元，增长/下降40.19%。</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（二）一般公共预算财政拨款支出决算结构情况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2017年本部门一般公共预算财政拨款支出157.83万元，主要用于以下方面:一般公共服务支出135.87万元，占86.09%；社会保障和就业支出8.19万元，占5.2%；医疗卫生支出6.75万元，占4.3%；住房保障支出7.02万元，占4.41%。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（三）一般公共预算财政拨款支出决算具体情况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1.一般公共服务（类）统战事务（款）行政运行（项）:</w:t>
      </w:r>
      <w:r>
        <w:rPr>
          <w:rFonts w:hint="eastAsia" w:ascii="宋体" w:hAnsi="宋体" w:eastAsia="宋体" w:cs="宋体"/>
          <w:b w:val="0"/>
          <w:i w:val="0"/>
          <w:caps w:val="0"/>
          <w:color w:val="000000"/>
          <w:spacing w:val="0"/>
          <w:sz w:val="32"/>
          <w:szCs w:val="32"/>
        </w:rPr>
        <w:t> 支出决算为135.87万元，完成预算123.52%，决算数大于预算数的主要原因是2016年结余报支。</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2.社会保障和就业（类）行政事业单位离退休（款）机关事业单位养老保险缴费支出（项）:</w:t>
      </w:r>
      <w:r>
        <w:rPr>
          <w:rFonts w:hint="eastAsia" w:ascii="宋体" w:hAnsi="宋体" w:eastAsia="宋体" w:cs="宋体"/>
          <w:b w:val="0"/>
          <w:i w:val="0"/>
          <w:caps w:val="0"/>
          <w:color w:val="000000"/>
          <w:spacing w:val="0"/>
          <w:sz w:val="32"/>
          <w:szCs w:val="32"/>
        </w:rPr>
        <w:t> 支出决算为8.19万元，完成预算100，决算数等于预算数。</w:t>
      </w:r>
    </w:p>
    <w:p>
      <w:pPr>
        <w:pStyle w:val="2"/>
        <w:keepNext w:val="0"/>
        <w:keepLines w:val="0"/>
        <w:widowControl/>
        <w:suppressLineNumbers w:val="0"/>
        <w:spacing w:before="75" w:beforeAutospacing="0" w:after="75" w:afterAutospacing="0"/>
        <w:ind w:left="0" w:right="0" w:firstLine="627"/>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3.医疗卫生与计划生育（类）</w:t>
      </w:r>
      <w:r>
        <w:rPr>
          <w:rFonts w:hint="eastAsia" w:ascii="宋体" w:hAnsi="宋体" w:eastAsia="宋体" w:cs="宋体"/>
          <w:i w:val="0"/>
          <w:caps w:val="0"/>
          <w:color w:val="000000"/>
          <w:spacing w:val="0"/>
          <w:sz w:val="32"/>
          <w:szCs w:val="32"/>
        </w:rPr>
        <w:t>行政事业单位医疗</w:t>
      </w:r>
      <w:r>
        <w:rPr>
          <w:rFonts w:hint="eastAsia" w:ascii="宋体" w:hAnsi="宋体" w:eastAsia="宋体" w:cs="宋体"/>
          <w:b/>
          <w:i w:val="0"/>
          <w:caps w:val="0"/>
          <w:color w:val="000000"/>
          <w:spacing w:val="0"/>
          <w:sz w:val="32"/>
          <w:szCs w:val="32"/>
        </w:rPr>
        <w:t>（款）</w:t>
      </w:r>
      <w:r>
        <w:rPr>
          <w:rFonts w:hint="eastAsia" w:ascii="宋体" w:hAnsi="宋体" w:eastAsia="宋体" w:cs="宋体"/>
          <w:i w:val="0"/>
          <w:caps w:val="0"/>
          <w:color w:val="000000"/>
          <w:spacing w:val="0"/>
          <w:sz w:val="21"/>
          <w:szCs w:val="21"/>
        </w:rPr>
        <w:t>  </w:t>
      </w:r>
      <w:r>
        <w:rPr>
          <w:rFonts w:hint="eastAsia" w:ascii="宋体" w:hAnsi="宋体" w:eastAsia="宋体" w:cs="宋体"/>
          <w:i w:val="0"/>
          <w:caps w:val="0"/>
          <w:color w:val="000000"/>
          <w:spacing w:val="0"/>
          <w:sz w:val="36"/>
          <w:szCs w:val="28"/>
        </w:rPr>
        <w:t>行政单位医疗</w:t>
      </w:r>
      <w:r>
        <w:rPr>
          <w:rFonts w:hint="eastAsia" w:ascii="宋体" w:hAnsi="宋体" w:eastAsia="宋体" w:cs="宋体"/>
          <w:b/>
          <w:i w:val="0"/>
          <w:caps w:val="0"/>
          <w:color w:val="000000"/>
          <w:spacing w:val="0"/>
          <w:sz w:val="32"/>
          <w:szCs w:val="32"/>
        </w:rPr>
        <w:t>（项）:</w:t>
      </w:r>
      <w:r>
        <w:rPr>
          <w:rFonts w:hint="eastAsia" w:ascii="宋体" w:hAnsi="宋体" w:eastAsia="宋体" w:cs="宋体"/>
          <w:b w:val="0"/>
          <w:i w:val="0"/>
          <w:caps w:val="0"/>
          <w:color w:val="000000"/>
          <w:spacing w:val="0"/>
          <w:sz w:val="32"/>
          <w:szCs w:val="32"/>
        </w:rPr>
        <w:t>支出决算为6.75万元，完成预算100%，决算数等于预算数。</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6"/>
          <w:szCs w:val="28"/>
        </w:rPr>
      </w:pPr>
      <w:r>
        <w:rPr>
          <w:rFonts w:hint="eastAsia" w:ascii="宋体" w:hAnsi="宋体" w:eastAsia="宋体" w:cs="宋体"/>
          <w:i w:val="0"/>
          <w:caps w:val="0"/>
          <w:color w:val="000000"/>
          <w:spacing w:val="0"/>
          <w:sz w:val="36"/>
          <w:szCs w:val="28"/>
        </w:rPr>
        <w:t>4.住房保障支出（类）住房改革支出（款）住房公积金（项）:2017年决算数为7.02万元，主要用于本单位职工住房公积金缴费，决算数等于预算数。</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6"/>
          <w:szCs w:val="28"/>
        </w:rPr>
      </w:pPr>
      <w:r>
        <w:rPr>
          <w:rFonts w:hint="eastAsia" w:ascii="宋体" w:hAnsi="宋体" w:eastAsia="宋体" w:cs="宋体"/>
          <w:i w:val="0"/>
          <w:caps w:val="0"/>
          <w:color w:val="000000"/>
          <w:spacing w:val="0"/>
          <w:sz w:val="36"/>
          <w:szCs w:val="28"/>
        </w:rPr>
        <w:t>六、一般公共预算财政拨款基本支出决算情况说明</w:t>
      </w:r>
    </w:p>
    <w:p>
      <w:pPr>
        <w:pStyle w:val="2"/>
        <w:keepNext w:val="0"/>
        <w:keepLines w:val="0"/>
        <w:widowControl/>
        <w:suppressLineNumbers w:val="0"/>
        <w:spacing w:before="75" w:beforeAutospacing="0" w:after="75" w:afterAutospacing="0"/>
        <w:ind w:left="0" w:right="0" w:firstLine="645"/>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2017年度本部门一般公共预算财政拨款基本支出148.83万元，其中：</w:t>
      </w:r>
    </w:p>
    <w:p>
      <w:pPr>
        <w:pStyle w:val="2"/>
        <w:keepNext w:val="0"/>
        <w:keepLines w:val="0"/>
        <w:widowControl/>
        <w:suppressLineNumbers w:val="0"/>
        <w:spacing w:before="75" w:beforeAutospacing="0" w:after="75" w:afterAutospacing="0"/>
        <w:ind w:left="0" w:right="0" w:firstLine="645"/>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人员经费81.65万元，主要包括：基本工资、津贴补贴、奖金、伙食补助费、绩效工资、机关事业单位基本养老保险缴费、职业年金缴费、其他社会保障缴费、其他工资福利支出、离休费、退休费、抚恤金、生活补助、医疗费、奖励金、住房公积金、提租补贴、购房补贴、其他对个人和家庭的补助支出等。</w:t>
      </w:r>
      <w:r>
        <w:rPr>
          <w:rFonts w:hint="eastAsia" w:ascii="宋体" w:hAnsi="宋体" w:eastAsia="宋体" w:cs="宋体"/>
          <w:i w:val="0"/>
          <w:caps w:val="0"/>
          <w:color w:val="000000"/>
          <w:spacing w:val="0"/>
          <w:sz w:val="32"/>
          <w:szCs w:val="32"/>
        </w:rPr>
        <w:br w:type="textWrapping"/>
      </w:r>
      <w:r>
        <w:rPr>
          <w:rFonts w:hint="eastAsia" w:ascii="宋体" w:hAnsi="宋体" w:eastAsia="宋体" w:cs="宋体"/>
          <w:i w:val="0"/>
          <w:caps w:val="0"/>
          <w:color w:val="000000"/>
          <w:spacing w:val="0"/>
          <w:sz w:val="32"/>
          <w:szCs w:val="32"/>
        </w:rPr>
        <w:t>公用经费22.99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七、“三公”经费财政拨款支出决算情况说明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6"/>
          <w:szCs w:val="28"/>
        </w:rPr>
      </w:pPr>
      <w:r>
        <w:rPr>
          <w:rFonts w:hint="eastAsia" w:ascii="宋体" w:hAnsi="宋体" w:eastAsia="宋体" w:cs="宋体"/>
          <w:i w:val="0"/>
          <w:caps w:val="0"/>
          <w:color w:val="000000"/>
          <w:spacing w:val="0"/>
          <w:sz w:val="32"/>
          <w:szCs w:val="24"/>
        </w:rPr>
        <w:t>（一）“三公”经费财政拨款支出决算总体情况说明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2017年本部门“三公”经费财政拨款支出决算为9.68万元，完成预算96.8%，决算数小于预算数的主要原因是节约开支结果。</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2"/>
          <w:szCs w:val="22"/>
        </w:rPr>
      </w:pPr>
      <w:r>
        <w:rPr>
          <w:rFonts w:hint="eastAsia" w:ascii="宋体" w:hAnsi="宋体" w:eastAsia="宋体" w:cs="宋体"/>
          <w:b/>
          <w:i w:val="0"/>
          <w:caps w:val="0"/>
          <w:color w:val="000000"/>
          <w:spacing w:val="0"/>
          <w:sz w:val="36"/>
          <w:szCs w:val="36"/>
        </w:rPr>
        <w:t>（二）“三公”经费财政拨款支出决算具体情况说明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2017年度本部门“三公”经费财政拨款支出决算中，因公出国（境）费支出决算0万元，占0%；公务用车购置及运行维护费支出决算0万元，占0%；公务接待费支出决算9.68万元，占100%。具体情况如下：</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1.因公出国（境）经费支出</w:t>
      </w:r>
      <w:r>
        <w:rPr>
          <w:rFonts w:hint="eastAsia" w:ascii="宋体" w:hAnsi="宋体" w:eastAsia="宋体" w:cs="宋体"/>
          <w:i w:val="0"/>
          <w:caps w:val="0"/>
          <w:color w:val="000000"/>
          <w:spacing w:val="0"/>
          <w:sz w:val="32"/>
          <w:szCs w:val="32"/>
        </w:rPr>
        <w:t>0万元。全年安排因公出国（境）团组0次，出国（境）0人。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28"/>
          <w:szCs w:val="28"/>
        </w:rPr>
        <w:t>2.</w:t>
      </w:r>
      <w:r>
        <w:rPr>
          <w:rFonts w:hint="eastAsia" w:ascii="宋体" w:hAnsi="宋体" w:eastAsia="宋体" w:cs="宋体"/>
          <w:b/>
          <w:i w:val="0"/>
          <w:caps w:val="0"/>
          <w:color w:val="000000"/>
          <w:spacing w:val="0"/>
          <w:sz w:val="32"/>
          <w:szCs w:val="32"/>
        </w:rPr>
        <w:t>公务用车购置及运行维护费支出</w:t>
      </w:r>
      <w:r>
        <w:rPr>
          <w:rFonts w:hint="eastAsia" w:ascii="宋体" w:hAnsi="宋体" w:eastAsia="宋体" w:cs="宋体"/>
          <w:i w:val="0"/>
          <w:caps w:val="0"/>
          <w:color w:val="000000"/>
          <w:spacing w:val="0"/>
          <w:sz w:val="32"/>
          <w:szCs w:val="32"/>
        </w:rPr>
        <w:t>0万元。其中：</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公务用车购置支出</w:t>
      </w:r>
      <w:r>
        <w:rPr>
          <w:rFonts w:hint="eastAsia" w:ascii="宋体" w:hAnsi="宋体" w:eastAsia="宋体" w:cs="宋体"/>
          <w:i w:val="0"/>
          <w:caps w:val="0"/>
          <w:color w:val="000000"/>
          <w:spacing w:val="0"/>
          <w:sz w:val="32"/>
          <w:szCs w:val="32"/>
        </w:rPr>
        <w:t>0万元。全年按规定更新购置公务用车0辆，其中：轿车0辆、金额0万元，越野车0辆、金额0万元，载客汽车0辆、金额0万元。</w:t>
      </w:r>
      <w:r>
        <w:rPr>
          <w:rFonts w:hint="eastAsia" w:ascii="宋体" w:hAnsi="宋体" w:eastAsia="宋体" w:cs="宋体"/>
          <w:b/>
          <w:i w:val="0"/>
          <w:caps w:val="0"/>
          <w:color w:val="000000"/>
          <w:spacing w:val="0"/>
          <w:sz w:val="32"/>
          <w:szCs w:val="32"/>
        </w:rPr>
        <w:t>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公务用车运行维护费支出</w:t>
      </w:r>
      <w:r>
        <w:rPr>
          <w:rFonts w:hint="eastAsia" w:ascii="宋体" w:hAnsi="宋体" w:eastAsia="宋体" w:cs="宋体"/>
          <w:i w:val="0"/>
          <w:caps w:val="0"/>
          <w:color w:val="000000"/>
          <w:spacing w:val="0"/>
          <w:sz w:val="32"/>
          <w:szCs w:val="32"/>
        </w:rPr>
        <w:t>0万元。主要用于（具体工作）等所需的公务用车燃料费、维修费、过路过桥费、保险费等支出。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公务用车购置及运行维护费支出决算比2016年增加0万元，增长0%。</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3.公务接待费支出</w:t>
      </w:r>
      <w:r>
        <w:rPr>
          <w:rFonts w:hint="eastAsia" w:ascii="宋体" w:hAnsi="宋体" w:eastAsia="宋体" w:cs="宋体"/>
          <w:i w:val="0"/>
          <w:caps w:val="0"/>
          <w:color w:val="000000"/>
          <w:spacing w:val="0"/>
          <w:sz w:val="32"/>
          <w:szCs w:val="32"/>
        </w:rPr>
        <w:t>9.68万元。主要用于执行公务、开展业务活动开支的交通费、住宿费、用餐费等。国内公务接待207批次，678人次（不包括陪同人员），共计支出9.68万元。</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公务接待费支出决算比2016年增加3万元，增长/下降30%。主要原因是项目费用中招待费增加。</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八、政府性基金预算支出决算情况说明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2017年度本部门政府性基金预算拨款支出0万元。</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九、国有资本经营预算支出决算情况说明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2017年度本部门国有资本经营预算拨款支出0万元。</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24"/>
        </w:rPr>
      </w:pPr>
      <w:r>
        <w:rPr>
          <w:rFonts w:hint="eastAsia" w:ascii="宋体" w:hAnsi="宋体" w:eastAsia="宋体" w:cs="宋体"/>
          <w:i w:val="0"/>
          <w:caps w:val="0"/>
          <w:color w:val="000000"/>
          <w:spacing w:val="0"/>
          <w:sz w:val="32"/>
          <w:szCs w:val="24"/>
        </w:rPr>
        <w:t>十、其他重要事项的情况说明</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6"/>
          <w:szCs w:val="28"/>
        </w:rPr>
      </w:pPr>
      <w:r>
        <w:rPr>
          <w:rFonts w:hint="eastAsia" w:ascii="宋体" w:hAnsi="宋体" w:eastAsia="宋体" w:cs="宋体"/>
          <w:i w:val="0"/>
          <w:caps w:val="0"/>
          <w:color w:val="000000"/>
          <w:spacing w:val="0"/>
          <w:sz w:val="36"/>
          <w:szCs w:val="28"/>
        </w:rPr>
        <w:t>（一）机关运行经费支出情况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2017年度，本部门机关运行经费支出22.99万元，比2016年减少3.27万元，下降14.22%。</w:t>
      </w:r>
    </w:p>
    <w:p>
      <w:pPr>
        <w:pStyle w:val="2"/>
        <w:keepNext w:val="0"/>
        <w:keepLines w:val="0"/>
        <w:widowControl/>
        <w:suppressLineNumbers w:val="0"/>
        <w:spacing w:before="75" w:beforeAutospacing="0" w:after="75" w:afterAutospacing="0"/>
        <w:ind w:left="0" w:right="0" w:firstLine="640"/>
        <w:jc w:val="left"/>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（二）政府采购支出情况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2017年度，本部门政府采购支出总额0万元，其中：政府采购货物支出0万元、政府采购工程支出0万元、政府采购服务支出0万元。授予中小企业合同金额0万元，占政府采购支出总额的0%，其中：授予小微企业合同金额0万元，占政府采购支出总额的0%。</w:t>
      </w:r>
    </w:p>
    <w:p>
      <w:pPr>
        <w:pStyle w:val="2"/>
        <w:keepNext w:val="0"/>
        <w:keepLines w:val="0"/>
        <w:widowControl/>
        <w:suppressLineNumbers w:val="0"/>
        <w:spacing w:before="75" w:beforeAutospacing="0" w:after="75" w:afterAutospacing="0"/>
        <w:ind w:left="0" w:right="0" w:firstLine="640"/>
        <w:jc w:val="left"/>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（三）国有资产占有使用情况</w:t>
      </w:r>
    </w:p>
    <w:p>
      <w:pPr>
        <w:pStyle w:val="2"/>
        <w:keepNext w:val="0"/>
        <w:keepLines w:val="0"/>
        <w:widowControl/>
        <w:suppressLineNumbers w:val="0"/>
        <w:spacing w:before="75" w:beforeAutospacing="0" w:after="75" w:afterAutospacing="0"/>
        <w:ind w:left="0" w:right="0" w:firstLine="640"/>
        <w:jc w:val="left"/>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截至2017年12月31日，本部门共有车</w:t>
      </w:r>
      <w:bookmarkStart w:id="0" w:name="_GoBack"/>
      <w:bookmarkEnd w:id="0"/>
      <w:r>
        <w:rPr>
          <w:rFonts w:hint="eastAsia" w:ascii="宋体" w:hAnsi="宋体" w:eastAsia="宋体" w:cs="宋体"/>
          <w:i w:val="0"/>
          <w:caps w:val="0"/>
          <w:color w:val="000000"/>
          <w:spacing w:val="0"/>
          <w:sz w:val="32"/>
          <w:szCs w:val="32"/>
        </w:rPr>
        <w:t>辆0辆，其中：部级领导干部用车0辆、一般公务用车0辆、一般执法执勤用车0辆、特种专业技术用车0辆、其他用车0辆；单价50万元以上通用设备0台（套），单价100万元以上专用设备0台（套）。</w:t>
      </w:r>
    </w:p>
    <w:p>
      <w:pPr>
        <w:pStyle w:val="2"/>
        <w:keepNext w:val="0"/>
        <w:keepLines w:val="0"/>
        <w:widowControl/>
        <w:suppressLineNumbers w:val="0"/>
        <w:spacing w:before="75" w:beforeAutospacing="0" w:after="75" w:afterAutospacing="0"/>
        <w:ind w:left="0" w:right="0" w:firstLine="640"/>
        <w:jc w:val="left"/>
        <w:rPr>
          <w:rFonts w:hint="eastAsia" w:ascii="宋体" w:hAnsi="宋体" w:eastAsia="宋体" w:cs="宋体"/>
          <w:i w:val="0"/>
          <w:caps w:val="0"/>
          <w:color w:val="333333"/>
          <w:spacing w:val="0"/>
          <w:sz w:val="21"/>
          <w:szCs w:val="21"/>
        </w:rPr>
      </w:pPr>
      <w:r>
        <w:rPr>
          <w:rFonts w:hint="eastAsia" w:ascii="宋体" w:hAnsi="宋体" w:eastAsia="宋体" w:cs="宋体"/>
          <w:b/>
          <w:i w:val="0"/>
          <w:caps w:val="0"/>
          <w:color w:val="000000"/>
          <w:spacing w:val="0"/>
          <w:sz w:val="32"/>
          <w:szCs w:val="32"/>
        </w:rPr>
        <w:t>（四）预算绩效情况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1.绩效目标管理情况。</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按照预算绩效管理要求，本部门对2017年一般公共预算项目支出开展了绩效目标管理，共编制绩效目标0个，涉及财政资金0元，覆盖率达到0%。</w:t>
      </w:r>
    </w:p>
    <w:p>
      <w:pPr>
        <w:pStyle w:val="2"/>
        <w:keepNext w:val="0"/>
        <w:keepLines w:val="0"/>
        <w:widowControl/>
        <w:suppressLineNumbers w:val="0"/>
        <w:spacing w:before="75" w:beforeAutospacing="0" w:after="75" w:afterAutospacing="0"/>
        <w:ind w:left="0" w:right="0" w:firstLine="0"/>
        <w:jc w:val="center"/>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21"/>
          <w:szCs w:val="21"/>
        </w:rPr>
        <w:t>2017年部门整体支出绩效评价得分表</w:t>
      </w:r>
    </w:p>
    <w:tbl>
      <w:tblPr>
        <w:tblW w:w="8521" w:type="dxa"/>
        <w:jc w:val="center"/>
        <w:tblInd w:w="1" w:type="dxa"/>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08" w:type="dxa"/>
          <w:bottom w:w="0" w:type="dxa"/>
          <w:right w:w="108" w:type="dxa"/>
        </w:tblCellMar>
      </w:tblPr>
      <w:tblGrid>
        <w:gridCol w:w="1606"/>
        <w:gridCol w:w="2137"/>
        <w:gridCol w:w="3173"/>
        <w:gridCol w:w="1597"/>
        <w:gridCol w:w="8"/>
      </w:tblGrid>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shd w:val="clear"/>
          <w:tblLayout w:type="fixed"/>
          <w:tblCellMar>
            <w:top w:w="15" w:type="dxa"/>
            <w:left w:w="108" w:type="dxa"/>
            <w:bottom w:w="0" w:type="dxa"/>
            <w:right w:w="108" w:type="dxa"/>
          </w:tblCellMar>
        </w:tblPrEx>
        <w:trPr>
          <w:gridAfter w:val="1"/>
          <w:wAfter w:w="8" w:type="dxa"/>
          <w:jc w:val="center"/>
        </w:trPr>
        <w:tc>
          <w:tcPr>
            <w:tcW w:w="1606" w:type="dxa"/>
            <w:tcBorders>
              <w:top w:val="single" w:color="000000" w:sz="4" w:space="0"/>
              <w:left w:val="single" w:color="000000" w:sz="4" w:space="0"/>
              <w:bottom w:val="single" w:color="000000" w:sz="4" w:space="0"/>
              <w:right w:val="single" w:color="000000" w:sz="4"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一级指标</w:t>
            </w:r>
          </w:p>
        </w:tc>
        <w:tc>
          <w:tcPr>
            <w:tcW w:w="2137"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二级指标</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三级指标</w:t>
            </w:r>
          </w:p>
        </w:tc>
        <w:tc>
          <w:tcPr>
            <w:tcW w:w="1597" w:type="dxa"/>
            <w:tcBorders>
              <w:top w:val="single" w:color="auto" w:sz="6" w:space="0"/>
              <w:left w:val="single" w:color="auto" w:sz="6" w:space="0"/>
              <w:bottom w:val="single" w:color="auto" w:sz="6" w:space="0"/>
              <w:right w:val="single" w:color="auto" w:sz="6" w:space="0"/>
            </w:tcBorders>
            <w:shd w:val="clear"/>
            <w:vAlign w:val="top"/>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得分</w:t>
            </w: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部门决策（25分）</w:t>
            </w: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目标任务（15分）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相关性（5分）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明确性（5分）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合理性（5分）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预算编制（10分）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测算依据（5分）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目标管理（5分）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综合管理（30分）</w:t>
            </w:r>
          </w:p>
        </w:tc>
        <w:tc>
          <w:tcPr>
            <w:tcW w:w="2137"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中期评估（2分）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执行中期评估（2分）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绩效监控（5分）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预算执行进度监控（2分）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绩效目标动态监控（3分）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非税收入执收情况（2分）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非税收入征收情况（1分）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非税收入上缴情况（1分）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资产管理（6分）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资产管理信息化情况（2分）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行政事业单位资产报告情况（2分）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资产管理与预算管理相结合（2分）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内控制度管理（2分）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内部控制度健全完整（2分）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信息公开（8分）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预算公开（3分）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决算公开（3分）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绩效信息公开（2分）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绩效评价（5分）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绩效评价开展（2分）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评价结果应用（3分）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部门绩效情况（45分）</w:t>
            </w: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履职成效（20分）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部门特性指标</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left"/>
              <w:rPr>
                <w:rFonts w:hint="eastAsia" w:ascii="宋体" w:hAnsi="宋体" w:eastAsia="宋体" w:cs="宋体"/>
              </w:rPr>
            </w:pPr>
            <w:r>
              <w:rPr>
                <w:rFonts w:hint="eastAsia" w:ascii="宋体" w:hAnsi="宋体" w:eastAsia="宋体" w:cs="宋体"/>
                <w:caps w:val="0"/>
                <w:color w:val="000000"/>
                <w:spacing w:val="0"/>
                <w:sz w:val="18"/>
                <w:szCs w:val="18"/>
              </w:rPr>
              <w:t>可持续发展能力（15分）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重点改革（重点工作）完成情况（5分）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科技（制度、方法、机制等）创新（5分）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人才培养（5分）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restart"/>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满意度（10分）</w:t>
            </w: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协作部门满意度（3分）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管理对象满意度（3分）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gridAfter w:val="1"/>
          <w:wAfter w:w="8" w:type="dxa"/>
          <w:jc w:val="center"/>
        </w:trPr>
        <w:tc>
          <w:tcPr>
            <w:tcW w:w="1606"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2137" w:type="dxa"/>
            <w:vMerge w:val="continue"/>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c>
          <w:tcPr>
            <w:tcW w:w="3173"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社会公众满意度（4分）</w:t>
            </w:r>
          </w:p>
        </w:tc>
        <w:tc>
          <w:tcPr>
            <w:tcW w:w="1597" w:type="dxa"/>
            <w:tcBorders>
              <w:top w:val="single" w:color="auto" w:sz="6" w:space="0"/>
              <w:left w:val="single" w:color="auto" w:sz="6" w:space="0"/>
              <w:bottom w:val="single" w:color="auto" w:sz="6" w:space="0"/>
              <w:right w:val="single" w:color="auto" w:sz="6" w:space="0"/>
            </w:tcBorders>
            <w:shd w:val="clear"/>
            <w:vAlign w:val="top"/>
          </w:tcPr>
          <w:p>
            <w:pPr>
              <w:rPr>
                <w:rFonts w:hint="eastAsia" w:ascii="宋体" w:hAnsi="宋体" w:eastAsia="宋体" w:cs="宋体"/>
                <w:caps w:val="0"/>
                <w:spacing w:val="0"/>
                <w:sz w:val="18"/>
                <w:szCs w:val="18"/>
              </w:rPr>
            </w:pPr>
          </w:p>
        </w:tc>
      </w:tr>
      <w:tr>
        <w:tblPrEx>
          <w:tblBorders>
            <w:top w:val="outset" w:color="000000" w:sz="6" w:space="0"/>
            <w:left w:val="outset" w:color="000000" w:sz="6" w:space="0"/>
            <w:bottom w:val="outset" w:color="000000" w:sz="6" w:space="0"/>
            <w:right w:val="outset" w:color="000000" w:sz="6" w:space="0"/>
            <w:insideH w:val="outset" w:color="000000" w:sz="6" w:space="0"/>
            <w:insideV w:val="outset" w:color="000000" w:sz="6" w:space="0"/>
          </w:tblBorders>
          <w:tblLayout w:type="fixed"/>
          <w:tblCellMar>
            <w:top w:w="15" w:type="dxa"/>
            <w:left w:w="108" w:type="dxa"/>
            <w:bottom w:w="0" w:type="dxa"/>
            <w:right w:w="108" w:type="dxa"/>
          </w:tblCellMar>
        </w:tblPrEx>
        <w:trPr>
          <w:jc w:val="center"/>
        </w:trPr>
        <w:tc>
          <w:tcPr>
            <w:tcW w:w="1606" w:type="dxa"/>
            <w:tcBorders>
              <w:top w:val="single" w:color="auto" w:sz="6" w:space="0"/>
              <w:left w:val="single" w:color="auto" w:sz="6" w:space="0"/>
              <w:bottom w:val="single" w:color="auto" w:sz="6" w:space="0"/>
              <w:right w:val="single" w:color="auto" w:sz="6" w:space="0"/>
            </w:tcBorders>
            <w:shd w:val="clear"/>
            <w:vAlign w:val="center"/>
          </w:tcPr>
          <w:p>
            <w:pPr>
              <w:pStyle w:val="2"/>
              <w:keepNext w:val="0"/>
              <w:keepLines w:val="0"/>
              <w:widowControl/>
              <w:suppressLineNumbers w:val="0"/>
              <w:spacing w:before="75" w:beforeAutospacing="0" w:after="75" w:afterAutospacing="0" w:line="23" w:lineRule="atLeast"/>
              <w:ind w:left="0" w:right="0"/>
              <w:jc w:val="center"/>
              <w:rPr>
                <w:rFonts w:hint="eastAsia" w:ascii="宋体" w:hAnsi="宋体" w:eastAsia="宋体" w:cs="宋体"/>
              </w:rPr>
            </w:pPr>
            <w:r>
              <w:rPr>
                <w:rFonts w:hint="eastAsia" w:ascii="宋体" w:hAnsi="宋体" w:eastAsia="宋体" w:cs="宋体"/>
                <w:caps w:val="0"/>
                <w:color w:val="000000"/>
                <w:spacing w:val="0"/>
                <w:sz w:val="18"/>
                <w:szCs w:val="18"/>
              </w:rPr>
              <w:t>总分</w:t>
            </w:r>
          </w:p>
        </w:tc>
        <w:tc>
          <w:tcPr>
            <w:tcW w:w="6915" w:type="dxa"/>
            <w:gridSpan w:val="4"/>
            <w:tcBorders>
              <w:top w:val="single" w:color="auto" w:sz="6" w:space="0"/>
              <w:left w:val="single" w:color="auto" w:sz="6" w:space="0"/>
              <w:bottom w:val="single" w:color="auto" w:sz="6" w:space="0"/>
              <w:right w:val="single" w:color="auto" w:sz="6" w:space="0"/>
            </w:tcBorders>
            <w:shd w:val="clear"/>
            <w:vAlign w:val="center"/>
          </w:tcPr>
          <w:p>
            <w:pPr>
              <w:rPr>
                <w:rFonts w:hint="eastAsia" w:ascii="宋体" w:hAnsi="宋体" w:eastAsia="宋体" w:cs="宋体"/>
                <w:caps w:val="0"/>
                <w:spacing w:val="0"/>
                <w:sz w:val="18"/>
                <w:szCs w:val="18"/>
              </w:rPr>
            </w:pPr>
          </w:p>
        </w:tc>
      </w:tr>
    </w:tbl>
    <w:p>
      <w:pPr>
        <w:pStyle w:val="2"/>
        <w:keepNext w:val="0"/>
        <w:keepLines w:val="0"/>
        <w:widowControl/>
        <w:suppressLineNumbers w:val="0"/>
        <w:spacing w:before="75" w:beforeAutospacing="0" w:after="75" w:afterAutospacing="0"/>
        <w:ind w:left="0" w:right="0" w:firstLine="640"/>
        <w:jc w:val="left"/>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十一、名词解释</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1.财政拨款收入：指单位从同级财政部门取得的财政预算资金。</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2.事业收入：指事业单位开展专业业务活动及辅助活动取得的收入。</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3.经营收入：指事业单位在专业业务活动及其辅助活动之外开展非独立核算经营活动取得的收入。</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4.其他收入：指单位取得的除上述收入以外的各项收入。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5.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6.年初结转和结余：指以前年度尚未完成、结转到本年按有关规定继续使用的资金。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7.结余分配：指事业单位按照事业单位会计制度的规定从非财政补助结余中分配的事业基金和职工福利基金等。</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21"/>
          <w:szCs w:val="21"/>
        </w:rPr>
      </w:pPr>
      <w:r>
        <w:rPr>
          <w:rFonts w:hint="eastAsia" w:ascii="宋体" w:hAnsi="宋体" w:eastAsia="宋体" w:cs="宋体"/>
          <w:i w:val="0"/>
          <w:caps w:val="0"/>
          <w:color w:val="000000"/>
          <w:spacing w:val="0"/>
          <w:sz w:val="32"/>
          <w:szCs w:val="32"/>
        </w:rPr>
        <w:t>8、年末结转和结余：指单位按有关规定结转到下年或以后年度继续使用的资金。</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9. 一般公共服务（类）财政事务（款）行政运行（项）：指行政单位（包括实行公务员管理的事业单位）的基本支出</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w:t>
      </w:r>
    </w:p>
    <w:p>
      <w:pPr>
        <w:pStyle w:val="2"/>
        <w:keepNext w:val="0"/>
        <w:keepLines w:val="0"/>
        <w:widowControl/>
        <w:suppressLineNumbers w:val="0"/>
        <w:spacing w:before="75" w:beforeAutospacing="0" w:after="75" w:afterAutospacing="0"/>
        <w:ind w:left="0" w:right="0" w:firstLine="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   其他统战商务支出（项）：指其他用于中国共产党统战部门其他商务方面的支出。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10.社会保障和就业（类）行政事业单位离退休（款）机关事业单位基本养老保险缴费支出（项）：指机关事业单位实施养老保险制度改革由单位缴纳的基本养老保险费支出。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11.医疗卫生与计划生育（类）行政事业单位医疗（款）行政单位医疗（项）：指财政部门集中安排的单位基本医疗保险缴费。</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12. 住房保障（类）住房改造支出（款）住房公积金（项）:主要用于单位职工缴纳住房公积金（单位负担部分）。</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13.基本支出：指为保障机构正常运转、完成日常工作任务而发生的人员支出和公用支出。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14.项目支出：指在基本支出之外为完成特定行政任务和事业发展目标所发生的支出。 </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15.经营支出：指事业单位在专业业务活动及其辅助活动之外开展非独立核算经营活动发生的支出。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16.“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17.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2"/>
        <w:keepNext w:val="0"/>
        <w:keepLines w:val="0"/>
        <w:widowControl/>
        <w:suppressLineNumbers w:val="0"/>
        <w:spacing w:before="75" w:beforeAutospacing="0" w:after="75" w:afterAutospacing="0"/>
        <w:ind w:left="319" w:leftChars="152" w:right="0" w:firstLine="652" w:firstLineChars="204"/>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             </w:t>
      </w:r>
      <w:r>
        <w:rPr>
          <w:rFonts w:hint="eastAsia" w:ascii="宋体" w:hAnsi="宋体" w:eastAsia="宋体" w:cs="宋体"/>
          <w:i w:val="0"/>
          <w:caps w:val="0"/>
          <w:color w:val="000000"/>
          <w:spacing w:val="0"/>
          <w:sz w:val="32"/>
          <w:szCs w:val="32"/>
          <w:lang w:val="en-US" w:eastAsia="zh-CN"/>
        </w:rPr>
        <w:t xml:space="preserve">                                             </w:t>
      </w:r>
      <w:r>
        <w:rPr>
          <w:rFonts w:hint="eastAsia" w:ascii="宋体" w:hAnsi="宋体" w:eastAsia="宋体" w:cs="宋体"/>
          <w:i w:val="0"/>
          <w:caps w:val="0"/>
          <w:color w:val="000000"/>
          <w:spacing w:val="0"/>
          <w:sz w:val="32"/>
          <w:szCs w:val="32"/>
        </w:rPr>
        <w:t>中国共产党苍溪县统战部</w:t>
      </w:r>
    </w:p>
    <w:p>
      <w:pPr>
        <w:pStyle w:val="2"/>
        <w:keepNext w:val="0"/>
        <w:keepLines w:val="0"/>
        <w:widowControl/>
        <w:suppressLineNumbers w:val="0"/>
        <w:spacing w:before="75" w:beforeAutospacing="0" w:after="75" w:afterAutospacing="0"/>
        <w:ind w:left="0" w:right="0" w:firstLine="640"/>
        <w:rPr>
          <w:rFonts w:hint="eastAsia" w:ascii="宋体" w:hAnsi="宋体" w:eastAsia="宋体" w:cs="宋体"/>
          <w:i w:val="0"/>
          <w:caps w:val="0"/>
          <w:color w:val="333333"/>
          <w:spacing w:val="0"/>
          <w:sz w:val="32"/>
          <w:szCs w:val="32"/>
        </w:rPr>
      </w:pPr>
      <w:r>
        <w:rPr>
          <w:rFonts w:hint="eastAsia" w:ascii="宋体" w:hAnsi="宋体" w:eastAsia="宋体" w:cs="宋体"/>
          <w:i w:val="0"/>
          <w:caps w:val="0"/>
          <w:color w:val="000000"/>
          <w:spacing w:val="0"/>
          <w:sz w:val="32"/>
          <w:szCs w:val="32"/>
        </w:rPr>
        <w:t>   </w:t>
      </w:r>
      <w:r>
        <w:rPr>
          <w:rFonts w:hint="eastAsia" w:ascii="宋体" w:hAnsi="宋体" w:eastAsia="宋体" w:cs="宋体"/>
          <w:i w:val="0"/>
          <w:caps w:val="0"/>
          <w:color w:val="000000"/>
          <w:spacing w:val="0"/>
          <w:sz w:val="32"/>
          <w:szCs w:val="32"/>
          <w:lang w:val="en-US" w:eastAsia="zh-CN"/>
        </w:rPr>
        <w:t xml:space="preserve">                   </w:t>
      </w:r>
      <w:r>
        <w:rPr>
          <w:rFonts w:hint="eastAsia" w:ascii="宋体" w:hAnsi="宋体" w:eastAsia="宋体" w:cs="宋体"/>
          <w:i w:val="0"/>
          <w:caps w:val="0"/>
          <w:color w:val="000000"/>
          <w:spacing w:val="0"/>
          <w:sz w:val="32"/>
          <w:szCs w:val="32"/>
        </w:rPr>
        <w:t> 2018年8月24日</w:t>
      </w:r>
    </w:p>
    <w:p>
      <w:pPr>
        <w:rPr>
          <w:rFonts w:hint="eastAsia" w:ascii="宋体" w:hAnsi="宋体" w:eastAsia="宋体" w:cs="宋体"/>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auto"/>
    <w:pitch w:val="default"/>
    <w:sig w:usb0="E1002EFF" w:usb1="C000605B" w:usb2="00000029" w:usb3="00000000" w:csb0="200101FF" w:csb1="20280000"/>
  </w:font>
  <w:font w:name="font-size:16p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ont-size:16pt;font-weight:bold;">
    <w:altName w:val="Segoe Print"/>
    <w:panose1 w:val="00000000000000000000"/>
    <w:charset w:val="00"/>
    <w:family w:val="auto"/>
    <w:pitch w:val="default"/>
    <w:sig w:usb0="00000000" w:usb1="00000000" w:usb2="00000000" w:usb3="00000000" w:csb0="00000000" w:csb1="00000000"/>
  </w:font>
  <w:font w:name="font-size:11pt;">
    <w:altName w:val="Segoe Print"/>
    <w:panose1 w:val="00000000000000000000"/>
    <w:charset w:val="00"/>
    <w:family w:val="auto"/>
    <w:pitch w:val="default"/>
    <w:sig w:usb0="00000000" w:usb1="00000000" w:usb2="00000000" w:usb3="00000000" w:csb0="00000000" w:csb1="00000000"/>
  </w:font>
  <w:font w:name="font-size:16pt;font-weight:normal;">
    <w:altName w:val="Segoe Print"/>
    <w:panose1 w:val="00000000000000000000"/>
    <w:charset w:val="00"/>
    <w:family w:val="auto"/>
    <w:pitch w:val="default"/>
    <w:sig w:usb0="00000000" w:usb1="00000000" w:usb2="00000000" w:usb3="00000000" w:csb0="00000000" w:csb1="00000000"/>
  </w:font>
  <w:font w:name="font-size:10pt;font-weight:bold;">
    <w:altName w:val="Segoe Print"/>
    <w:panose1 w:val="00000000000000000000"/>
    <w:charset w:val="00"/>
    <w:family w:val="auto"/>
    <w:pitch w:val="default"/>
    <w:sig w:usb0="00000000" w:usb1="00000000" w:usb2="00000000" w:usb3="00000000" w:csb0="00000000" w:csb1="00000000"/>
  </w:font>
  <w:font w:name="font-size:10pt;">
    <w:altName w:val="Segoe Prin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757F58"/>
    <w:rsid w:val="08757F58"/>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7</TotalTime>
  <ScaleCrop>false</ScaleCrop>
  <LinksUpToDate>false</LinksUpToDate>
  <CharactersWithSpaces>0</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2018-08-28T01:32:00Z</dcterms:created>
  <dc:creator>死地后生</dc:creator>
  <cp:lastModifiedBy>死地后生</cp:lastModifiedBy>
  <dcterms:modified xsi:type="dcterms:W3CDTF">2018-08-28T01:39:45Z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