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黑体" w:eastAsia="黑体"/>
          <w:b/>
          <w:bCs/>
          <w:color w:val="000000"/>
          <w:sz w:val="36"/>
          <w:szCs w:val="36"/>
        </w:rPr>
      </w:pPr>
      <w:r>
        <w:rPr>
          <w:rFonts w:hint="eastAsia" w:ascii="黑体" w:hAnsi="黑体" w:eastAsia="黑体"/>
          <w:b/>
          <w:bCs/>
          <w:color w:val="000000"/>
          <w:sz w:val="36"/>
          <w:szCs w:val="36"/>
        </w:rPr>
        <w:t>苍溪县公共资源交易服务中心</w:t>
      </w:r>
    </w:p>
    <w:p>
      <w:pPr>
        <w:spacing w:line="600" w:lineRule="exact"/>
        <w:jc w:val="center"/>
        <w:rPr>
          <w:rFonts w:ascii="方正小标宋简体" w:hAnsi="宋体" w:eastAsia="方正小标宋简体"/>
          <w:b/>
          <w:bCs/>
          <w:color w:val="000000"/>
          <w:sz w:val="36"/>
          <w:szCs w:val="36"/>
        </w:rPr>
      </w:pPr>
      <w:r>
        <w:rPr>
          <w:rFonts w:hint="eastAsia" w:ascii="黑体" w:hAnsi="黑体" w:eastAsia="黑体"/>
          <w:b/>
          <w:bCs/>
          <w:color w:val="000000"/>
          <w:sz w:val="36"/>
          <w:szCs w:val="36"/>
        </w:rPr>
        <w:t>2017年部门决算编制说明</w:t>
      </w:r>
    </w:p>
    <w:p>
      <w:pPr>
        <w:spacing w:line="600" w:lineRule="exact"/>
        <w:jc w:val="center"/>
        <w:rPr>
          <w:rFonts w:ascii="宋体" w:hAnsi="宋体"/>
          <w:b/>
          <w:color w:val="000000"/>
          <w:sz w:val="44"/>
          <w:szCs w:val="44"/>
        </w:rPr>
      </w:pPr>
    </w:p>
    <w:p>
      <w:pPr>
        <w:spacing w:line="600" w:lineRule="exact"/>
        <w:jc w:val="center"/>
        <w:rPr>
          <w:rFonts w:ascii="宋体" w:hAnsi="宋体"/>
          <w:b/>
          <w:color w:val="000000"/>
          <w:sz w:val="44"/>
          <w:szCs w:val="44"/>
        </w:rPr>
      </w:pP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一、基本职能及主要工作</w:t>
      </w:r>
    </w:p>
    <w:p>
      <w:pPr>
        <w:pStyle w:val="2"/>
        <w:adjustRightInd w:val="0"/>
        <w:snapToGrid w:val="0"/>
        <w:spacing w:before="93" w:line="600" w:lineRule="exact"/>
        <w:ind w:firstLine="672" w:firstLineChars="210"/>
        <w:rPr>
          <w:rFonts w:ascii="仿宋" w:hAnsi="仿宋" w:eastAsia="仿宋"/>
          <w:bCs/>
          <w:color w:val="000000"/>
          <w:sz w:val="32"/>
          <w:szCs w:val="32"/>
        </w:rPr>
      </w:pPr>
      <w:r>
        <w:rPr>
          <w:rFonts w:hint="eastAsia" w:ascii="仿宋" w:hAnsi="仿宋" w:eastAsia="仿宋"/>
          <w:bCs/>
          <w:color w:val="000000"/>
          <w:sz w:val="32"/>
          <w:szCs w:val="32"/>
        </w:rPr>
        <w:t>（一）主要职能</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1、贯彻实施公共资源交易服务相关法律、法规和政策，为公共资源交易活动提供场所、设施和服务。</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2、制定公共资源交易服务中心的管理制度、工作流程并组织实施；制定公共资源交易活动和管理工作操作规程。</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3、承担全县工程建设招投标现场服务和管理工作；负责政府采购活动现场服务和管理工作；协助国有产权、特许经营权出（转）让等现场服务和管理工作；协助国有土地、矿业权出（转）让提高交易服务。</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4、承担县公共资源交易服务中心信息技术平台建设和管理；按照有关规定发布场内交易信息，为交易各方提供交易资讯、询问等服务。</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5、查验进场交易项目相关手续和参与交易活动各方主体资格。</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6、建立公共资源交易从业者场内信誉评价制度，协助有关部门建立公共资源交易信用评价体系。</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7、负责项目交易现场监督管理工作。记录、制止和纠正违反交易现场管理制度的行为，接受有关咨询、询问，并按职责分工及时处理。</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8、完成县委、县政府交办的其他任务。</w:t>
      </w:r>
    </w:p>
    <w:p>
      <w:pPr>
        <w:pStyle w:val="2"/>
        <w:adjustRightInd w:val="0"/>
        <w:snapToGrid w:val="0"/>
        <w:spacing w:before="93" w:line="600" w:lineRule="exact"/>
        <w:ind w:firstLine="672" w:firstLineChars="210"/>
        <w:rPr>
          <w:rFonts w:ascii="仿宋" w:hAnsi="仿宋" w:eastAsia="仿宋"/>
          <w:bCs/>
          <w:color w:val="000000"/>
          <w:sz w:val="32"/>
          <w:szCs w:val="32"/>
        </w:rPr>
      </w:pPr>
      <w:r>
        <w:rPr>
          <w:rFonts w:hint="eastAsia" w:ascii="仿宋" w:hAnsi="仿宋" w:eastAsia="仿宋"/>
          <w:bCs/>
          <w:color w:val="000000"/>
          <w:sz w:val="32"/>
          <w:szCs w:val="32"/>
        </w:rPr>
        <w:t>（二）2017年重点工作完成情况。</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1、保障重大项目落地成交。加快推进紫云工业园区二区PPP项目二期扩面、完成“一桥一隧”PPP项目资格预审和公开招标，协助项目如期签订合同、开工建设。</w:t>
      </w:r>
    </w:p>
    <w:p>
      <w:pPr>
        <w:pStyle w:val="2"/>
        <w:adjustRightInd w:val="0"/>
        <w:snapToGrid w:val="0"/>
        <w:spacing w:before="93" w:line="600" w:lineRule="exact"/>
        <w:ind w:firstLine="832" w:firstLineChars="260"/>
        <w:rPr>
          <w:rFonts w:ascii="仿宋" w:hAnsi="仿宋" w:eastAsia="仿宋"/>
          <w:bCs/>
          <w:color w:val="000000"/>
          <w:sz w:val="32"/>
          <w:szCs w:val="32"/>
        </w:rPr>
      </w:pPr>
      <w:r>
        <w:rPr>
          <w:rFonts w:hint="eastAsia" w:ascii="仿宋" w:hAnsi="仿宋" w:eastAsia="仿宋"/>
          <w:bCs/>
          <w:color w:val="000000"/>
          <w:sz w:val="32"/>
          <w:szCs w:val="32"/>
        </w:rPr>
        <w:t>2、优化公共资源交易环境。在中心楼道、开评标室悬挂招标采购警言警句、廉政格言等警示牌匾。深化电子化交易，提高了中心信息化水平。交易流程全程公开化，中心投资20余万元升级了高清摄像头、安装了音响设备、监控、拾音器、LED电子显示屏。</w:t>
      </w:r>
    </w:p>
    <w:p>
      <w:pPr>
        <w:spacing w:line="600"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3、</w:t>
      </w:r>
      <w:r>
        <w:rPr>
          <w:rFonts w:hint="eastAsia" w:ascii="仿宋" w:hAnsi="仿宋" w:eastAsia="仿宋" w:cs="黑体"/>
          <w:sz w:val="32"/>
          <w:szCs w:val="32"/>
        </w:rPr>
        <w:t>深入</w:t>
      </w:r>
      <w:r>
        <w:rPr>
          <w:rFonts w:hint="eastAsia" w:ascii="仿宋" w:hAnsi="仿宋" w:eastAsia="仿宋"/>
          <w:bCs/>
          <w:color w:val="000000"/>
          <w:kern w:val="0"/>
          <w:sz w:val="32"/>
          <w:szCs w:val="32"/>
        </w:rPr>
        <w:t>开展脱贫攻坚工作。中心现有在职人员11人，帮扶岳东三塘村（贫困村）、勇士村、文水村三个村贫困户共计57户。一是夯实贫困村集体经济。建设生态鱼养殖场一处。建设生态桃园示范基地一处，引进“春美”“春雪”两大品种1500株。二是认真开展“三同活动”。按照县委、县政府的安排，我中心分三次先后在3个村开展“三同活动”。</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二、部门概况</w:t>
      </w:r>
    </w:p>
    <w:p>
      <w:pPr>
        <w:pStyle w:val="2"/>
        <w:adjustRightInd w:val="0"/>
        <w:snapToGrid w:val="0"/>
        <w:spacing w:before="93" w:line="600" w:lineRule="exact"/>
        <w:ind w:firstLine="672" w:firstLineChars="210"/>
        <w:rPr>
          <w:rFonts w:ascii="仿宋" w:hAnsi="仿宋" w:eastAsia="仿宋"/>
          <w:color w:val="000000"/>
          <w:sz w:val="32"/>
          <w:szCs w:val="32"/>
        </w:rPr>
      </w:pPr>
      <w:r>
        <w:rPr>
          <w:rFonts w:hint="eastAsia" w:ascii="仿宋" w:hAnsi="仿宋" w:eastAsia="仿宋"/>
          <w:color w:val="000000"/>
          <w:sz w:val="32"/>
          <w:szCs w:val="32"/>
        </w:rPr>
        <w:t>苍溪县</w:t>
      </w:r>
      <w:r>
        <w:rPr>
          <w:rFonts w:hint="eastAsia" w:ascii="仿宋" w:hAnsi="仿宋" w:eastAsia="仿宋"/>
          <w:color w:val="000000"/>
          <w:sz w:val="36"/>
          <w:szCs w:val="36"/>
        </w:rPr>
        <w:t>公共资源交易服务中心</w:t>
      </w:r>
      <w:r>
        <w:rPr>
          <w:rFonts w:hint="eastAsia" w:ascii="仿宋" w:hAnsi="仿宋" w:eastAsia="仿宋"/>
          <w:color w:val="000000"/>
          <w:sz w:val="32"/>
          <w:szCs w:val="32"/>
        </w:rPr>
        <w:t>（以下简称“本部门”）下属二级单位0个，其中行政单位0个，参照公务员法管理的事业单位</w:t>
      </w:r>
      <w:r>
        <w:rPr>
          <w:rFonts w:hint="eastAsia" w:ascii="仿宋" w:hAnsi="仿宋" w:eastAsia="仿宋"/>
          <w:bCs/>
          <w:color w:val="000000"/>
          <w:sz w:val="32"/>
          <w:szCs w:val="32"/>
        </w:rPr>
        <w:t>0</w:t>
      </w:r>
      <w:r>
        <w:rPr>
          <w:rFonts w:hint="eastAsia" w:ascii="仿宋" w:hAnsi="仿宋" w:eastAsia="仿宋"/>
          <w:color w:val="000000"/>
          <w:sz w:val="32"/>
          <w:szCs w:val="32"/>
        </w:rPr>
        <w:t>个，其他事业单位0个。</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三、收支决算总体情况说明</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2017年本部门本年收入合计134.86万元，其中：一般公共预算财政拨款收入100.55万元，占75%；政府性基金预算财政拨款收入0万元，占0%；国有资本经营预算财政拨款收入0万元，占0%；事业收入0万元，占0%；经营收入0万元，占0%；附属单位上缴收入0万元，占0%；</w:t>
      </w:r>
      <w:r>
        <w:rPr>
          <w:rFonts w:hint="eastAsia" w:ascii="仿宋" w:hAnsi="仿宋" w:eastAsia="仿宋"/>
          <w:sz w:val="32"/>
          <w:szCs w:val="32"/>
        </w:rPr>
        <w:t>年末结转</w:t>
      </w:r>
      <w:r>
        <w:rPr>
          <w:rFonts w:hint="eastAsia" w:ascii="仿宋" w:hAnsi="仿宋" w:eastAsia="仿宋"/>
          <w:color w:val="000000"/>
          <w:sz w:val="32"/>
          <w:szCs w:val="32"/>
        </w:rPr>
        <w:t>34.31万元，占25%。</w:t>
      </w:r>
      <w:r>
        <w:rPr>
          <w:rFonts w:hint="eastAsia" w:ascii="仿宋" w:hAnsi="仿宋" w:eastAsia="仿宋"/>
          <w:color w:val="000000" w:themeColor="text1"/>
          <w:sz w:val="32"/>
          <w:szCs w:val="32"/>
        </w:rPr>
        <w:t>本年收入较上年度增加8.98万元，增长7.13%，增加</w:t>
      </w:r>
      <w:r>
        <w:rPr>
          <w:rStyle w:val="8"/>
          <w:rFonts w:hint="eastAsia" w:ascii="仿宋" w:hAnsi="仿宋" w:eastAsia="仿宋"/>
          <w:b w:val="0"/>
          <w:color w:val="000000" w:themeColor="text1"/>
          <w:sz w:val="32"/>
          <w:szCs w:val="32"/>
        </w:rPr>
        <w:t>主要原因是引进人才人员增加</w:t>
      </w:r>
      <w:r>
        <w:rPr>
          <w:rFonts w:hint="eastAsia" w:ascii="仿宋" w:hAnsi="仿宋" w:eastAsia="仿宋"/>
          <w:color w:val="000000"/>
          <w:sz w:val="32"/>
          <w:szCs w:val="32"/>
        </w:rPr>
        <w:t>。</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四、财政拨款收入支出决算总体情况说明</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2017年度本部门财政拨款收入总计134.86万元、财政拨款支出总计134.86万元。与2016年相比，财政拨款收入增加8.98万元，增长7.13%、财政拨款支出总计增加8.98万元，增长7.13%。</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五、一般公共预算财政拨款支出决算情况说明</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（一）一般公共预算财政拨款支出决算总体情况</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2017年度本部门一般公共预算财政拨款支出134.86万元，占本年支出合计的100%，与2016年相比，一般公共预算财政拨款增加8.98万元，增长7.13%。</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（二）一般公共预算财政拨款支出决算结构情况</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2017年本部门一般公共预算财政拨款支出134.86万元，主要用于以下方面:一般公共服务支出110.75万元，占82.12%；教育支出0万元，占0%；社会保障和就业支出14.68万元，占10.89%；医疗卫生支出7.13万元，占5.29%；住房保障支出2.30万元，占1.70%。</w:t>
      </w:r>
    </w:p>
    <w:p>
      <w:pPr>
        <w:spacing w:line="600" w:lineRule="exact"/>
        <w:ind w:firstLine="480" w:firstLineChars="150"/>
        <w:rPr>
          <w:rFonts w:ascii="仿宋" w:hAnsi="仿宋" w:eastAsia="仿宋"/>
          <w:color w:val="000000"/>
          <w:sz w:val="32"/>
          <w:szCs w:val="32"/>
        </w:rPr>
      </w:pPr>
      <w:r>
        <w:rPr>
          <w:rFonts w:hint="eastAsia" w:ascii="仿宋" w:hAnsi="仿宋" w:eastAsia="仿宋"/>
          <w:color w:val="000000"/>
          <w:sz w:val="32"/>
          <w:szCs w:val="32"/>
        </w:rPr>
        <w:t>（三）一般公共预算财政拨款支出决算具体情况</w:t>
      </w:r>
    </w:p>
    <w:p>
      <w:pPr>
        <w:spacing w:line="600" w:lineRule="exact"/>
        <w:ind w:firstLine="643" w:firstLineChars="200"/>
        <w:rPr>
          <w:rFonts w:ascii="仿宋" w:hAnsi="仿宋" w:eastAsia="仿宋"/>
          <w:b/>
          <w:color w:val="000000"/>
          <w:sz w:val="32"/>
          <w:szCs w:val="32"/>
        </w:rPr>
      </w:pPr>
      <w:r>
        <w:rPr>
          <w:rStyle w:val="8"/>
          <w:rFonts w:hint="eastAsia" w:ascii="仿宋" w:hAnsi="仿宋" w:eastAsia="仿宋"/>
          <w:color w:val="000000"/>
          <w:sz w:val="32"/>
          <w:szCs w:val="32"/>
        </w:rPr>
        <w:t>1.一般公共服务201.03.99:</w:t>
      </w:r>
      <w:r>
        <w:rPr>
          <w:rStyle w:val="8"/>
          <w:rFonts w:hint="eastAsia" w:ascii="仿宋" w:hAnsi="仿宋" w:eastAsia="仿宋"/>
          <w:b w:val="0"/>
          <w:color w:val="000000"/>
          <w:sz w:val="32"/>
          <w:szCs w:val="32"/>
        </w:rPr>
        <w:t>支出决算为110.75万元，完成预算121.84%，决算数大于预算数的主要原因是人员增加。</w:t>
      </w:r>
    </w:p>
    <w:p>
      <w:pPr>
        <w:spacing w:line="600" w:lineRule="exact"/>
        <w:ind w:firstLine="643" w:firstLineChars="200"/>
        <w:rPr>
          <w:rFonts w:ascii="仿宋" w:hAnsi="仿宋" w:eastAsia="仿宋"/>
          <w:b/>
          <w:color w:val="000000"/>
          <w:sz w:val="32"/>
          <w:szCs w:val="32"/>
        </w:rPr>
      </w:pPr>
      <w:r>
        <w:rPr>
          <w:rStyle w:val="8"/>
          <w:rFonts w:hint="eastAsia" w:ascii="仿宋" w:hAnsi="仿宋" w:eastAsia="仿宋"/>
          <w:color w:val="000000"/>
          <w:sz w:val="32"/>
          <w:szCs w:val="32"/>
        </w:rPr>
        <w:t>2.社会保障和就业208.05.05:</w:t>
      </w:r>
      <w:r>
        <w:rPr>
          <w:rStyle w:val="8"/>
          <w:rFonts w:hint="eastAsia" w:ascii="仿宋" w:hAnsi="仿宋" w:eastAsia="仿宋"/>
          <w:b w:val="0"/>
          <w:color w:val="000000"/>
          <w:sz w:val="32"/>
          <w:szCs w:val="32"/>
        </w:rPr>
        <w:t>支出决算为14.68万元，完成预算253.10%，决算数大于预算数的主要原因是人员增加。</w:t>
      </w:r>
    </w:p>
    <w:p>
      <w:pPr>
        <w:spacing w:line="600" w:lineRule="exact"/>
        <w:ind w:firstLine="643" w:firstLineChars="200"/>
        <w:rPr>
          <w:rStyle w:val="8"/>
          <w:rFonts w:ascii="仿宋" w:hAnsi="仿宋" w:eastAsia="仿宋"/>
          <w:b w:val="0"/>
          <w:color w:val="000000"/>
          <w:sz w:val="32"/>
          <w:szCs w:val="32"/>
        </w:rPr>
      </w:pPr>
      <w:r>
        <w:rPr>
          <w:rStyle w:val="8"/>
          <w:rFonts w:hint="eastAsia" w:ascii="仿宋" w:hAnsi="仿宋" w:eastAsia="仿宋"/>
          <w:color w:val="000000"/>
          <w:sz w:val="32"/>
          <w:szCs w:val="32"/>
        </w:rPr>
        <w:t>3.医疗卫生与计划生育210.11.02:</w:t>
      </w:r>
      <w:r>
        <w:rPr>
          <w:rStyle w:val="8"/>
          <w:rFonts w:hint="eastAsia" w:ascii="仿宋" w:hAnsi="仿宋" w:eastAsia="仿宋"/>
          <w:b w:val="0"/>
          <w:color w:val="000000"/>
          <w:sz w:val="32"/>
          <w:szCs w:val="32"/>
        </w:rPr>
        <w:t>支出决算为7.13万元，完成预算324.10%，决算数大于预算数的主要原因是人员增加。</w:t>
      </w:r>
    </w:p>
    <w:p>
      <w:pPr>
        <w:spacing w:line="600" w:lineRule="exact"/>
        <w:ind w:firstLine="643" w:firstLineChars="200"/>
        <w:rPr>
          <w:rFonts w:ascii="仿宋" w:hAnsi="仿宋" w:eastAsia="仿宋"/>
          <w:b/>
          <w:color w:val="000000"/>
          <w:sz w:val="32"/>
          <w:szCs w:val="32"/>
        </w:rPr>
      </w:pPr>
      <w:r>
        <w:rPr>
          <w:rStyle w:val="8"/>
          <w:rFonts w:hint="eastAsia" w:ascii="仿宋" w:hAnsi="仿宋" w:eastAsia="仿宋"/>
          <w:color w:val="000000"/>
          <w:sz w:val="32"/>
          <w:szCs w:val="32"/>
        </w:rPr>
        <w:t>4.住房保障支出221.02.01:</w:t>
      </w:r>
      <w:r>
        <w:rPr>
          <w:rStyle w:val="8"/>
          <w:rFonts w:hint="eastAsia" w:ascii="仿宋" w:hAnsi="仿宋" w:eastAsia="仿宋"/>
          <w:b w:val="0"/>
          <w:color w:val="000000"/>
          <w:sz w:val="32"/>
          <w:szCs w:val="32"/>
        </w:rPr>
        <w:t>支出决算为2.30万元，完成预算100%，决算数等于预算数。</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六、一般公共预算财政拨款基本支出决算情况说明</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2017年度本部门一般公共预算财政拨款基本支出101.33万元，其中：</w:t>
      </w:r>
    </w:p>
    <w:p>
      <w:pPr>
        <w:spacing w:line="600" w:lineRule="exact"/>
        <w:ind w:firstLine="645"/>
        <w:rPr>
          <w:rFonts w:hint="eastAsia" w:ascii="仿宋" w:hAnsi="仿宋" w:eastAsia="仿宋"/>
          <w:color w:val="000000"/>
          <w:sz w:val="32"/>
          <w:szCs w:val="32"/>
        </w:rPr>
      </w:pPr>
      <w:r>
        <w:rPr>
          <w:rFonts w:hint="eastAsia" w:ascii="仿宋" w:hAnsi="仿宋" w:eastAsia="仿宋"/>
          <w:color w:val="000000"/>
          <w:sz w:val="32"/>
          <w:szCs w:val="32"/>
        </w:rPr>
        <w:t>人员经费91.93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公用经费9.40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七、“三公”经费财政拨款支出决算情况说明</w:t>
      </w:r>
    </w:p>
    <w:p>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（一）“三公”经费财政拨款支出决算总体情况说明</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2017年本部门“三公”经费财政拨款支出决算为0.16万元，完成预算8%，决算数小于预算数的主要原因是减少公务接待费支出。</w:t>
      </w:r>
    </w:p>
    <w:p>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（二）“三公”经费财政拨款支出决算具体情况说明</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2017年度本部门“三公”经费财政拨款支出决算中，因公出国（境）费支出决算0万元，占0%；公务用车购置及运行维护费支出决算0万元，占0%；公务接待费支出决算0.16万元，占8%。具体情况如下：</w:t>
      </w:r>
    </w:p>
    <w:p>
      <w:p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1.因公出国（境）经费支出</w:t>
      </w:r>
      <w:r>
        <w:rPr>
          <w:rFonts w:hint="eastAsia" w:ascii="仿宋" w:hAnsi="仿宋" w:eastAsia="仿宋"/>
          <w:color w:val="000000"/>
          <w:sz w:val="32"/>
          <w:szCs w:val="32"/>
        </w:rPr>
        <w:t>0万元。全年安排因公出国（境）团组0次，出国（境）0人。</w:t>
      </w:r>
    </w:p>
    <w:p>
      <w:pPr>
        <w:spacing w:line="600" w:lineRule="exact"/>
        <w:ind w:firstLine="640"/>
        <w:rPr>
          <w:rFonts w:ascii="仿宋" w:hAnsi="仿宋" w:eastAsia="仿宋"/>
          <w:b/>
          <w:color w:val="000000"/>
          <w:sz w:val="32"/>
          <w:szCs w:val="32"/>
        </w:rPr>
      </w:pPr>
      <w:r>
        <w:rPr>
          <w:rFonts w:hint="eastAsia" w:ascii="仿宋" w:hAnsi="仿宋" w:eastAsia="仿宋"/>
          <w:color w:val="000000"/>
          <w:sz w:val="32"/>
          <w:szCs w:val="32"/>
        </w:rPr>
        <w:t>因公出国（境）支出决算比2016年</w:t>
      </w:r>
      <w:r>
        <w:rPr>
          <w:rFonts w:hint="eastAsia" w:ascii="仿宋" w:hAnsi="仿宋" w:eastAsia="仿宋"/>
          <w:color w:val="000000"/>
          <w:sz w:val="32"/>
          <w:szCs w:val="32"/>
          <w:lang w:val="en-US" w:eastAsia="zh-CN"/>
        </w:rPr>
        <w:t>持平。</w:t>
      </w:r>
    </w:p>
    <w:p>
      <w:pPr>
        <w:spacing w:line="600" w:lineRule="exact"/>
        <w:ind w:firstLine="643" w:firstLineChars="200"/>
        <w:rPr>
          <w:rFonts w:ascii="仿宋" w:hAnsi="仿宋" w:eastAsia="仿宋"/>
          <w:color w:val="000000"/>
          <w:sz w:val="32"/>
          <w:szCs w:val="32"/>
        </w:rPr>
      </w:pPr>
      <w:r>
        <w:rPr>
          <w:rFonts w:hint="eastAsia" w:ascii="仿宋" w:hAnsi="仿宋" w:eastAsia="仿宋"/>
          <w:b/>
          <w:color w:val="000000"/>
          <w:sz w:val="32"/>
          <w:szCs w:val="32"/>
        </w:rPr>
        <w:t>2.公务用车购置及运行维护费支出</w:t>
      </w:r>
      <w:r>
        <w:rPr>
          <w:rFonts w:hint="eastAsia" w:ascii="仿宋" w:hAnsi="仿宋" w:eastAsia="仿宋"/>
          <w:color w:val="000000"/>
          <w:sz w:val="32"/>
          <w:szCs w:val="32"/>
        </w:rPr>
        <w:t>0万元。其中：</w:t>
      </w:r>
    </w:p>
    <w:p>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公务用车购置支出</w:t>
      </w:r>
      <w:r>
        <w:rPr>
          <w:rFonts w:hint="eastAsia" w:ascii="仿宋" w:hAnsi="仿宋" w:eastAsia="仿宋"/>
          <w:color w:val="000000"/>
          <w:sz w:val="32"/>
          <w:szCs w:val="32"/>
        </w:rPr>
        <w:t>0万元。全年按规定更新购置公务用车0辆，其中：轿车0辆、金额0万元，越野车0辆、金额0万元，载客汽车0辆、金额0万元。截至2017年12月底，单位共有公务用车0辆，其中：轿车0辆、越野车0辆、载客汽车0辆。</w:t>
      </w:r>
    </w:p>
    <w:p>
      <w:p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公务用车运行维护费支出</w:t>
      </w:r>
      <w:r>
        <w:rPr>
          <w:rFonts w:hint="eastAsia" w:ascii="仿宋" w:hAnsi="仿宋" w:eastAsia="仿宋"/>
          <w:color w:val="000000"/>
          <w:sz w:val="32"/>
          <w:szCs w:val="32"/>
        </w:rPr>
        <w:t>0万元。</w:t>
      </w:r>
    </w:p>
    <w:p>
      <w:pPr>
        <w:spacing w:line="600" w:lineRule="exact"/>
        <w:ind w:firstLine="640"/>
        <w:rPr>
          <w:rFonts w:hint="eastAsia" w:ascii="仿宋" w:hAnsi="仿宋" w:eastAsia="仿宋"/>
          <w:b/>
          <w:color w:val="000000"/>
          <w:sz w:val="32"/>
          <w:szCs w:val="32"/>
          <w:lang w:val="en-US" w:eastAsia="zh-CN"/>
        </w:rPr>
      </w:pPr>
      <w:r>
        <w:rPr>
          <w:rFonts w:hint="eastAsia" w:ascii="仿宋" w:hAnsi="仿宋" w:eastAsia="仿宋"/>
          <w:color w:val="000000"/>
          <w:sz w:val="32"/>
          <w:szCs w:val="32"/>
        </w:rPr>
        <w:t>公务用车购置及运行维护费支出决算比2016年</w:t>
      </w:r>
      <w:r>
        <w:rPr>
          <w:rFonts w:hint="eastAsia" w:ascii="仿宋" w:hAnsi="仿宋" w:eastAsia="仿宋"/>
          <w:color w:val="000000"/>
          <w:sz w:val="32"/>
          <w:szCs w:val="32"/>
          <w:lang w:val="en-US" w:eastAsia="zh-CN"/>
        </w:rPr>
        <w:t>持平。</w:t>
      </w:r>
    </w:p>
    <w:p>
      <w:pPr>
        <w:spacing w:line="600" w:lineRule="exact"/>
        <w:ind w:firstLine="643" w:firstLineChars="200"/>
        <w:rPr>
          <w:rFonts w:ascii="仿宋" w:hAnsi="仿宋" w:eastAsia="仿宋"/>
          <w:color w:val="000000"/>
          <w:sz w:val="32"/>
          <w:szCs w:val="32"/>
        </w:rPr>
      </w:pPr>
      <w:r>
        <w:rPr>
          <w:rFonts w:hint="eastAsia" w:ascii="仿宋" w:hAnsi="仿宋" w:eastAsia="仿宋"/>
          <w:b/>
          <w:color w:val="000000"/>
          <w:sz w:val="32"/>
          <w:szCs w:val="32"/>
        </w:rPr>
        <w:t>3.公务接待费支出</w:t>
      </w:r>
      <w:r>
        <w:rPr>
          <w:rFonts w:hint="eastAsia" w:ascii="仿宋" w:hAnsi="仿宋" w:eastAsia="仿宋"/>
          <w:color w:val="000000"/>
          <w:sz w:val="32"/>
          <w:szCs w:val="32"/>
        </w:rPr>
        <w:t>0.16万元。主要用于执行公务、开展业务活动开支的交通费、住宿费、用餐费等。国内公务接待3批次，20人次（不包括陪同人员），共计支出0.16万元，具体内容包括：接待周边单位对我单位业务考察学习。其中：外事接待0批次，0人，共计支出0万元。</w:t>
      </w:r>
    </w:p>
    <w:p>
      <w:pPr>
        <w:spacing w:line="600" w:lineRule="exact"/>
        <w:ind w:firstLine="640"/>
        <w:rPr>
          <w:rFonts w:ascii="仿宋" w:hAnsi="仿宋" w:eastAsia="仿宋"/>
          <w:b/>
          <w:color w:val="000000"/>
          <w:sz w:val="32"/>
          <w:szCs w:val="32"/>
        </w:rPr>
      </w:pPr>
      <w:r>
        <w:rPr>
          <w:rFonts w:hint="eastAsia" w:ascii="仿宋" w:hAnsi="仿宋" w:eastAsia="仿宋"/>
          <w:color w:val="000000"/>
          <w:sz w:val="32"/>
          <w:szCs w:val="32"/>
        </w:rPr>
        <w:t>公务接待费支出决算比2016年减少1.67万元，下降91%。主要原因是到我中心考察学习人员减少。</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八、政府性基金预算支出决算情况说明</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2017年度本部门政府性基金预算拨款支出0万元。</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九、国有资本经营预算支出决算情况说明</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2017年度本部门国有资本经营预算拨款支出0万元。</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十、其他重要事项的情况说明</w:t>
      </w:r>
    </w:p>
    <w:p>
      <w:pPr>
        <w:spacing w:line="600" w:lineRule="exact"/>
        <w:ind w:firstLine="643" w:firstLineChars="200"/>
        <w:rPr>
          <w:rFonts w:ascii="仿宋" w:hAnsi="仿宋" w:eastAsia="仿宋"/>
          <w:color w:val="000000"/>
          <w:sz w:val="32"/>
          <w:szCs w:val="32"/>
        </w:rPr>
      </w:pPr>
      <w:r>
        <w:rPr>
          <w:rFonts w:hint="eastAsia" w:ascii="仿宋" w:hAnsi="仿宋" w:eastAsia="仿宋"/>
          <w:b/>
          <w:color w:val="000000"/>
          <w:sz w:val="32"/>
          <w:szCs w:val="32"/>
        </w:rPr>
        <w:t>（一）机关运行经费支出情况</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2017年度，本部门机关运行经费支出8万元，比2016年增加3.36万元，增长72%。主要原因是人员增加导致业务费、水电费、差旅费相应增加。</w:t>
      </w:r>
    </w:p>
    <w:p>
      <w:pPr>
        <w:autoSpaceDE w:val="0"/>
        <w:autoSpaceDN w:val="0"/>
        <w:adjustRightInd w:val="0"/>
        <w:spacing w:line="600" w:lineRule="exact"/>
        <w:ind w:firstLine="643" w:firstLineChars="200"/>
        <w:jc w:val="left"/>
        <w:rPr>
          <w:rFonts w:ascii="仿宋" w:hAnsi="仿宋" w:eastAsia="仿宋"/>
          <w:b/>
          <w:color w:val="000000"/>
          <w:sz w:val="32"/>
          <w:szCs w:val="32"/>
        </w:rPr>
      </w:pPr>
      <w:r>
        <w:rPr>
          <w:rFonts w:hint="eastAsia" w:ascii="仿宋" w:hAnsi="仿宋" w:eastAsia="仿宋"/>
          <w:b/>
          <w:color w:val="000000"/>
          <w:sz w:val="32"/>
          <w:szCs w:val="32"/>
        </w:rPr>
        <w:t>（二）政府采购支出情况</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2017年度，本部门政府采购支出总额1.44万元，其中：政府采购货物支出1.44万元、政府采购工程支出0万元、政府采购服务支出0万元。主要用于购买电脑2台。授予中小企业合同金额0万元，占政府采购支出总额的0%，其中：授予小微企业合同金额0万元，占政府采购支出总额的0%。</w:t>
      </w:r>
    </w:p>
    <w:p>
      <w:pPr>
        <w:autoSpaceDE w:val="0"/>
        <w:autoSpaceDN w:val="0"/>
        <w:adjustRightInd w:val="0"/>
        <w:spacing w:line="600" w:lineRule="exact"/>
        <w:ind w:firstLine="643" w:firstLineChars="200"/>
        <w:jc w:val="left"/>
        <w:rPr>
          <w:rFonts w:ascii="仿宋" w:hAnsi="仿宋" w:eastAsia="仿宋"/>
          <w:b/>
          <w:color w:val="000000"/>
          <w:sz w:val="32"/>
          <w:szCs w:val="32"/>
        </w:rPr>
      </w:pPr>
      <w:r>
        <w:rPr>
          <w:rFonts w:hint="eastAsia" w:ascii="仿宋" w:hAnsi="仿宋" w:eastAsia="仿宋"/>
          <w:b/>
          <w:color w:val="000000"/>
          <w:sz w:val="32"/>
          <w:szCs w:val="32"/>
        </w:rPr>
        <w:t>（三）国有资产占有使用情况</w:t>
      </w:r>
    </w:p>
    <w:p>
      <w:pPr>
        <w:autoSpaceDE w:val="0"/>
        <w:autoSpaceDN w:val="0"/>
        <w:adjustRightInd w:val="0"/>
        <w:spacing w:line="60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截至2017年12月31日，本部门共有车辆0辆，其中：部级领导干部用车0辆、一般公务用车0辆、一般执法执勤用车0辆、特种专业技术用车0辆、其他用车0辆；单价50万元以上通用设备0台（套），单价100万元以上专用设备0台（套）。</w:t>
      </w:r>
    </w:p>
    <w:p>
      <w:pPr>
        <w:autoSpaceDE w:val="0"/>
        <w:autoSpaceDN w:val="0"/>
        <w:adjustRightInd w:val="0"/>
        <w:spacing w:line="600" w:lineRule="exact"/>
        <w:ind w:firstLine="643" w:firstLineChars="200"/>
        <w:jc w:val="left"/>
        <w:rPr>
          <w:rFonts w:ascii="仿宋" w:hAnsi="仿宋" w:eastAsia="仿宋"/>
          <w:b/>
          <w:color w:val="000000"/>
          <w:sz w:val="32"/>
          <w:szCs w:val="32"/>
        </w:rPr>
      </w:pPr>
      <w:r>
        <w:rPr>
          <w:rFonts w:hint="eastAsia" w:ascii="仿宋" w:hAnsi="仿宋" w:eastAsia="仿宋"/>
          <w:b/>
          <w:color w:val="000000"/>
          <w:sz w:val="32"/>
          <w:szCs w:val="32"/>
        </w:rPr>
        <w:t>（四）预算绩效情况</w:t>
      </w:r>
    </w:p>
    <w:p>
      <w:pPr>
        <w:autoSpaceDE w:val="0"/>
        <w:autoSpaceDN w:val="0"/>
        <w:adjustRightInd w:val="0"/>
        <w:spacing w:line="60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本单位2017年未开展预算绩效管理。</w:t>
      </w:r>
    </w:p>
    <w:p>
      <w:pPr>
        <w:autoSpaceDE w:val="0"/>
        <w:autoSpaceDN w:val="0"/>
        <w:adjustRightInd w:val="0"/>
        <w:spacing w:line="60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十一、名词解释</w:t>
      </w:r>
    </w:p>
    <w:p>
      <w:pPr>
        <w:pStyle w:val="13"/>
        <w:spacing w:line="560" w:lineRule="exact"/>
        <w:ind w:firstLine="640" w:firstLineChars="200"/>
        <w:rPr>
          <w:rFonts w:hAnsi="仿宋"/>
          <w:sz w:val="32"/>
          <w:szCs w:val="32"/>
        </w:rPr>
      </w:pPr>
      <w:r>
        <w:rPr>
          <w:rFonts w:hint="eastAsia" w:hAnsi="仿宋"/>
          <w:sz w:val="32"/>
          <w:szCs w:val="32"/>
        </w:rPr>
        <w:t>1.财政拨款收入：指单位从同级财政部门取得的财政预算资金。</w:t>
      </w:r>
    </w:p>
    <w:p>
      <w:pPr>
        <w:pStyle w:val="13"/>
        <w:spacing w:line="560" w:lineRule="exact"/>
        <w:ind w:firstLine="640" w:firstLineChars="200"/>
        <w:rPr>
          <w:rFonts w:hAnsi="仿宋"/>
          <w:sz w:val="32"/>
          <w:szCs w:val="32"/>
        </w:rPr>
      </w:pPr>
      <w:r>
        <w:rPr>
          <w:rFonts w:hint="eastAsia" w:hAnsi="仿宋"/>
          <w:sz w:val="32"/>
          <w:szCs w:val="32"/>
        </w:rPr>
        <w:t>2.事业收入：指事业单位开展专业业务活动及辅助活动取得的收入。</w:t>
      </w:r>
    </w:p>
    <w:p>
      <w:pPr>
        <w:pStyle w:val="13"/>
        <w:spacing w:line="560" w:lineRule="exact"/>
        <w:ind w:firstLine="640" w:firstLineChars="200"/>
        <w:rPr>
          <w:rFonts w:hAnsi="仿宋"/>
          <w:sz w:val="32"/>
          <w:szCs w:val="32"/>
        </w:rPr>
      </w:pPr>
      <w:r>
        <w:rPr>
          <w:rFonts w:hint="eastAsia" w:hAnsi="仿宋"/>
          <w:sz w:val="32"/>
          <w:szCs w:val="32"/>
        </w:rPr>
        <w:t xml:space="preserve">3.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pPr>
        <w:pStyle w:val="13"/>
        <w:spacing w:line="560" w:lineRule="exact"/>
        <w:ind w:firstLine="640" w:firstLineChars="200"/>
        <w:rPr>
          <w:rFonts w:hAnsi="仿宋"/>
          <w:sz w:val="32"/>
          <w:szCs w:val="32"/>
        </w:rPr>
      </w:pPr>
      <w:r>
        <w:rPr>
          <w:rFonts w:hint="eastAsia" w:hAnsi="仿宋"/>
          <w:sz w:val="32"/>
          <w:szCs w:val="32"/>
        </w:rPr>
        <w:t xml:space="preserve">4.年初结转和结余：指以前年度尚未完成、结转到本年按有关规定继续使用的资金。 </w:t>
      </w:r>
    </w:p>
    <w:p>
      <w:pPr>
        <w:pStyle w:val="13"/>
        <w:spacing w:line="560" w:lineRule="exact"/>
        <w:ind w:firstLine="640" w:firstLineChars="200"/>
        <w:rPr>
          <w:rFonts w:hAnsi="仿宋"/>
          <w:sz w:val="32"/>
          <w:szCs w:val="32"/>
        </w:rPr>
      </w:pPr>
      <w:r>
        <w:rPr>
          <w:rFonts w:hint="eastAsia" w:hAnsi="仿宋"/>
          <w:sz w:val="32"/>
          <w:szCs w:val="32"/>
        </w:rPr>
        <w:t>5.结余分配：指事业单位按照事业单位会计制度的规定从非财政补助结余中分配的事业基金和职工福利基金等。</w:t>
      </w:r>
    </w:p>
    <w:p>
      <w:pPr>
        <w:pStyle w:val="13"/>
        <w:spacing w:line="560" w:lineRule="exact"/>
        <w:ind w:firstLine="640" w:firstLineChars="200"/>
        <w:rPr>
          <w:rFonts w:hAnsi="仿宋"/>
          <w:sz w:val="32"/>
          <w:szCs w:val="32"/>
        </w:rPr>
      </w:pPr>
      <w:r>
        <w:rPr>
          <w:rFonts w:hint="eastAsia" w:hAnsi="仿宋"/>
          <w:sz w:val="32"/>
          <w:szCs w:val="32"/>
        </w:rPr>
        <w:t>6、年末结转和结余：指单位按有关规定结转到下年或以后年度继续使用的资金。</w:t>
      </w:r>
    </w:p>
    <w:p>
      <w:pPr>
        <w:ind w:firstLine="640" w:firstLineChars="200"/>
        <w:rPr>
          <w:rFonts w:ascii="仿宋" w:hAnsi="仿宋" w:eastAsia="仿宋"/>
          <w:color w:val="000000"/>
          <w:sz w:val="32"/>
          <w:szCs w:val="32"/>
        </w:rPr>
      </w:pPr>
      <w:r>
        <w:rPr>
          <w:rFonts w:hint="eastAsia" w:ascii="仿宋" w:hAnsi="仿宋" w:eastAsia="仿宋"/>
          <w:color w:val="000000"/>
          <w:sz w:val="32"/>
          <w:szCs w:val="32"/>
        </w:rPr>
        <w:t>7.基本支出：指为保障机构正常运转、完成日常工作任务而发生的人员支出和公用支出。</w:t>
      </w:r>
    </w:p>
    <w:p>
      <w:pPr>
        <w:ind w:firstLine="640" w:firstLineChars="200"/>
        <w:rPr>
          <w:rFonts w:ascii="仿宋" w:hAnsi="仿宋" w:eastAsia="仿宋"/>
          <w:color w:val="000000"/>
          <w:sz w:val="32"/>
          <w:szCs w:val="32"/>
        </w:rPr>
      </w:pPr>
      <w:r>
        <w:rPr>
          <w:rFonts w:hint="eastAsia" w:ascii="仿宋" w:hAnsi="仿宋" w:eastAsia="仿宋"/>
          <w:color w:val="000000"/>
          <w:sz w:val="32"/>
          <w:szCs w:val="32"/>
        </w:rPr>
        <w:t xml:space="preserve">8.项目支出：指在基本支出之外为完成特定行政任务和事业发展目标所发生的支出。 </w:t>
      </w:r>
    </w:p>
    <w:p>
      <w:pPr>
        <w:pStyle w:val="13"/>
        <w:spacing w:line="560" w:lineRule="exact"/>
        <w:ind w:firstLine="640" w:firstLineChars="200"/>
        <w:rPr>
          <w:rFonts w:hAnsi="仿宋"/>
          <w:sz w:val="32"/>
          <w:szCs w:val="32"/>
        </w:rPr>
      </w:pPr>
      <w:r>
        <w:rPr>
          <w:rFonts w:hint="eastAsia" w:hAnsi="仿宋"/>
          <w:sz w:val="32"/>
          <w:szCs w:val="32"/>
        </w:rPr>
        <w:t>9.“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13"/>
        <w:spacing w:line="560" w:lineRule="exact"/>
        <w:ind w:firstLine="640" w:firstLineChars="200"/>
        <w:rPr>
          <w:rFonts w:hAnsi="仿宋"/>
          <w:sz w:val="32"/>
          <w:szCs w:val="32"/>
        </w:rPr>
      </w:pPr>
      <w:r>
        <w:rPr>
          <w:rFonts w:hint="eastAsia" w:hAnsi="仿宋"/>
          <w:sz w:val="32"/>
          <w:szCs w:val="32"/>
        </w:rPr>
        <w:t>10.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ascii="仿宋" w:hAnsi="仿宋" w:eastAsia="仿宋"/>
          <w:b/>
          <w:color w:val="000000"/>
          <w:sz w:val="32"/>
          <w:szCs w:val="32"/>
        </w:rPr>
      </w:pPr>
    </w:p>
    <w:p>
      <w:pPr>
        <w:ind w:firstLine="643" w:firstLineChars="200"/>
        <w:rPr>
          <w:rFonts w:ascii="仿宋" w:hAnsi="仿宋" w:eastAsia="仿宋"/>
          <w:b/>
          <w:color w:val="000000"/>
          <w:sz w:val="32"/>
          <w:szCs w:val="32"/>
        </w:rPr>
      </w:pPr>
      <w:bookmarkStart w:id="0" w:name="_GoBack"/>
      <w:bookmarkEnd w:id="0"/>
    </w:p>
    <w:p>
      <w:pPr>
        <w:ind w:firstLine="643" w:firstLineChars="200"/>
        <w:jc w:val="right"/>
        <w:rPr>
          <w:rFonts w:ascii="仿宋" w:hAnsi="仿宋" w:eastAsia="仿宋"/>
          <w:b/>
          <w:color w:val="000000"/>
          <w:sz w:val="32"/>
          <w:szCs w:val="32"/>
        </w:rPr>
      </w:pPr>
      <w:r>
        <w:rPr>
          <w:rFonts w:hint="eastAsia" w:ascii="仿宋" w:hAnsi="仿宋" w:eastAsia="仿宋"/>
          <w:b/>
          <w:color w:val="000000"/>
          <w:sz w:val="32"/>
          <w:szCs w:val="32"/>
        </w:rPr>
        <w:t>苍溪县公共资源交易服务中心</w:t>
      </w:r>
    </w:p>
    <w:p>
      <w:pPr>
        <w:ind w:firstLine="643" w:firstLineChars="200"/>
        <w:jc w:val="right"/>
        <w:rPr>
          <w:rFonts w:ascii="仿宋_GB2312" w:eastAsia="仿宋_GB2312"/>
          <w:b/>
          <w:color w:val="000000"/>
          <w:sz w:val="32"/>
          <w:szCs w:val="32"/>
        </w:rPr>
      </w:pPr>
      <w:r>
        <w:rPr>
          <w:rFonts w:hint="eastAsia" w:ascii="仿宋" w:hAnsi="仿宋" w:eastAsia="仿宋"/>
          <w:b/>
          <w:color w:val="000000"/>
          <w:sz w:val="32"/>
          <w:szCs w:val="32"/>
        </w:rPr>
        <w:t>2018年8月24日</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rPr>
        <w:lang w:val="zh-CN"/>
      </w:rPr>
      <w:t>8</w:t>
    </w:r>
    <w:r>
      <w:rPr>
        <w:lang w:val="zh-CN"/>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06D6F"/>
    <w:rsid w:val="00046174"/>
    <w:rsid w:val="0006487A"/>
    <w:rsid w:val="00077923"/>
    <w:rsid w:val="000A3C1F"/>
    <w:rsid w:val="000B047F"/>
    <w:rsid w:val="000B5A48"/>
    <w:rsid w:val="000C3CA6"/>
    <w:rsid w:val="000D5782"/>
    <w:rsid w:val="000F0B5A"/>
    <w:rsid w:val="00115774"/>
    <w:rsid w:val="00115CF5"/>
    <w:rsid w:val="0013617A"/>
    <w:rsid w:val="0014729F"/>
    <w:rsid w:val="00172E92"/>
    <w:rsid w:val="00184AF0"/>
    <w:rsid w:val="001877A7"/>
    <w:rsid w:val="00191536"/>
    <w:rsid w:val="00196687"/>
    <w:rsid w:val="001B1A3F"/>
    <w:rsid w:val="001C05C6"/>
    <w:rsid w:val="001C1D3B"/>
    <w:rsid w:val="001E737D"/>
    <w:rsid w:val="001F1BF7"/>
    <w:rsid w:val="001F7506"/>
    <w:rsid w:val="00202B36"/>
    <w:rsid w:val="00211010"/>
    <w:rsid w:val="002202C9"/>
    <w:rsid w:val="00235629"/>
    <w:rsid w:val="00252C1F"/>
    <w:rsid w:val="00260C38"/>
    <w:rsid w:val="002616C0"/>
    <w:rsid w:val="00262BAF"/>
    <w:rsid w:val="002662AA"/>
    <w:rsid w:val="002A3C3F"/>
    <w:rsid w:val="002A5352"/>
    <w:rsid w:val="003320BF"/>
    <w:rsid w:val="00360CFC"/>
    <w:rsid w:val="0037013F"/>
    <w:rsid w:val="00376438"/>
    <w:rsid w:val="003A484F"/>
    <w:rsid w:val="003B0C1B"/>
    <w:rsid w:val="003C0291"/>
    <w:rsid w:val="00401A2E"/>
    <w:rsid w:val="00410E72"/>
    <w:rsid w:val="00443880"/>
    <w:rsid w:val="00467DAB"/>
    <w:rsid w:val="00487E5D"/>
    <w:rsid w:val="004B4690"/>
    <w:rsid w:val="004E206B"/>
    <w:rsid w:val="00505A47"/>
    <w:rsid w:val="00512FDA"/>
    <w:rsid w:val="005545CF"/>
    <w:rsid w:val="005635B0"/>
    <w:rsid w:val="00563910"/>
    <w:rsid w:val="005664BB"/>
    <w:rsid w:val="0058486E"/>
    <w:rsid w:val="00597907"/>
    <w:rsid w:val="005A68DE"/>
    <w:rsid w:val="005D5CED"/>
    <w:rsid w:val="00607E6C"/>
    <w:rsid w:val="006325F8"/>
    <w:rsid w:val="006504B5"/>
    <w:rsid w:val="0066343B"/>
    <w:rsid w:val="00683E73"/>
    <w:rsid w:val="007158E3"/>
    <w:rsid w:val="0075404D"/>
    <w:rsid w:val="00760669"/>
    <w:rsid w:val="0076182A"/>
    <w:rsid w:val="00767B7E"/>
    <w:rsid w:val="007770C3"/>
    <w:rsid w:val="00784226"/>
    <w:rsid w:val="00786E4A"/>
    <w:rsid w:val="007A6E91"/>
    <w:rsid w:val="007E028F"/>
    <w:rsid w:val="007F2C2F"/>
    <w:rsid w:val="00800112"/>
    <w:rsid w:val="00807F0D"/>
    <w:rsid w:val="00832765"/>
    <w:rsid w:val="00851265"/>
    <w:rsid w:val="00860645"/>
    <w:rsid w:val="00871F71"/>
    <w:rsid w:val="0087615F"/>
    <w:rsid w:val="00882EBE"/>
    <w:rsid w:val="008936E5"/>
    <w:rsid w:val="008C2854"/>
    <w:rsid w:val="008E3444"/>
    <w:rsid w:val="0092392E"/>
    <w:rsid w:val="00935923"/>
    <w:rsid w:val="00946945"/>
    <w:rsid w:val="00951248"/>
    <w:rsid w:val="0095152F"/>
    <w:rsid w:val="0096011C"/>
    <w:rsid w:val="00960668"/>
    <w:rsid w:val="00967965"/>
    <w:rsid w:val="00971FFC"/>
    <w:rsid w:val="009B2C43"/>
    <w:rsid w:val="009B4EAE"/>
    <w:rsid w:val="009B7573"/>
    <w:rsid w:val="009D3447"/>
    <w:rsid w:val="009E0DB9"/>
    <w:rsid w:val="009E76D7"/>
    <w:rsid w:val="00A04A7F"/>
    <w:rsid w:val="00A13CC1"/>
    <w:rsid w:val="00A24DA5"/>
    <w:rsid w:val="00A307CD"/>
    <w:rsid w:val="00A40A00"/>
    <w:rsid w:val="00A652E0"/>
    <w:rsid w:val="00AC4197"/>
    <w:rsid w:val="00AC7345"/>
    <w:rsid w:val="00AD5620"/>
    <w:rsid w:val="00AD7C1B"/>
    <w:rsid w:val="00B03C9D"/>
    <w:rsid w:val="00B10517"/>
    <w:rsid w:val="00B14E76"/>
    <w:rsid w:val="00B2048C"/>
    <w:rsid w:val="00B310B9"/>
    <w:rsid w:val="00B34887"/>
    <w:rsid w:val="00B36110"/>
    <w:rsid w:val="00B44B70"/>
    <w:rsid w:val="00B519BD"/>
    <w:rsid w:val="00B77EA6"/>
    <w:rsid w:val="00B82E97"/>
    <w:rsid w:val="00B841F1"/>
    <w:rsid w:val="00B85026"/>
    <w:rsid w:val="00BB0403"/>
    <w:rsid w:val="00BC5460"/>
    <w:rsid w:val="00C03E31"/>
    <w:rsid w:val="00C31C73"/>
    <w:rsid w:val="00C354B2"/>
    <w:rsid w:val="00C35554"/>
    <w:rsid w:val="00C533CC"/>
    <w:rsid w:val="00C62B85"/>
    <w:rsid w:val="00CA2517"/>
    <w:rsid w:val="00CB1776"/>
    <w:rsid w:val="00CC09B6"/>
    <w:rsid w:val="00CD1724"/>
    <w:rsid w:val="00CE7B61"/>
    <w:rsid w:val="00D00095"/>
    <w:rsid w:val="00D42296"/>
    <w:rsid w:val="00D51276"/>
    <w:rsid w:val="00D53307"/>
    <w:rsid w:val="00D53AEF"/>
    <w:rsid w:val="00D551E3"/>
    <w:rsid w:val="00DB1913"/>
    <w:rsid w:val="00DC410D"/>
    <w:rsid w:val="00DC68CA"/>
    <w:rsid w:val="00E6704D"/>
    <w:rsid w:val="00E82267"/>
    <w:rsid w:val="00EA239E"/>
    <w:rsid w:val="00ED1B63"/>
    <w:rsid w:val="00ED33C9"/>
    <w:rsid w:val="00ED797B"/>
    <w:rsid w:val="00EE2F57"/>
    <w:rsid w:val="00EF4C34"/>
    <w:rsid w:val="00F11C1D"/>
    <w:rsid w:val="00F1361C"/>
    <w:rsid w:val="00F160C7"/>
    <w:rsid w:val="00F417B1"/>
    <w:rsid w:val="00F51286"/>
    <w:rsid w:val="00F602DF"/>
    <w:rsid w:val="00F66C1A"/>
    <w:rsid w:val="00FA7DD5"/>
    <w:rsid w:val="00FF1E02"/>
    <w:rsid w:val="2AF05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12"/>
    <w:uiPriority w:val="0"/>
    <w:pPr>
      <w:spacing w:beforeLines="30"/>
    </w:pPr>
    <w:rPr>
      <w:rFonts w:ascii="仿宋_GB2312" w:eastAsia="仿宋_GB2312"/>
      <w:kern w:val="0"/>
      <w:sz w:val="30"/>
    </w:rPr>
  </w:style>
  <w:style w:type="paragraph" w:styleId="3">
    <w:name w:val="Balloon Text"/>
    <w:basedOn w:val="1"/>
    <w:semiHidden/>
    <w:qFormat/>
    <w:uiPriority w:val="0"/>
    <w:rPr>
      <w:sz w:val="18"/>
      <w:szCs w:val="18"/>
    </w:rPr>
  </w:style>
  <w:style w:type="paragraph" w:styleId="4">
    <w:name w:val="footer"/>
    <w:basedOn w:val="1"/>
    <w:link w:val="11"/>
    <w:unhideWhenUsed/>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0"/>
    <w:semiHidden/>
    <w:unhideWhenUsed/>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iPriority w:val="0"/>
    <w:pPr>
      <w:spacing w:before="100" w:beforeAutospacing="1" w:after="100" w:afterAutospacing="1"/>
      <w:jc w:val="left"/>
    </w:pPr>
    <w:rPr>
      <w:rFonts w:eastAsia="仿宋_GB2312"/>
      <w:kern w:val="0"/>
      <w:sz w:val="24"/>
    </w:rPr>
  </w:style>
  <w:style w:type="character" w:styleId="8">
    <w:name w:val="Strong"/>
    <w:qFormat/>
    <w:uiPriority w:val="22"/>
    <w:rPr>
      <w:b/>
      <w:bCs/>
    </w:rPr>
  </w:style>
  <w:style w:type="character" w:customStyle="1" w:styleId="10">
    <w:name w:val="页眉 Char"/>
    <w:link w:val="5"/>
    <w:semiHidden/>
    <w:uiPriority w:val="99"/>
    <w:rPr>
      <w:sz w:val="18"/>
      <w:szCs w:val="18"/>
    </w:rPr>
  </w:style>
  <w:style w:type="character" w:customStyle="1" w:styleId="11">
    <w:name w:val="页脚 Char"/>
    <w:link w:val="4"/>
    <w:uiPriority w:val="99"/>
    <w:rPr>
      <w:sz w:val="18"/>
      <w:szCs w:val="18"/>
    </w:rPr>
  </w:style>
  <w:style w:type="character" w:customStyle="1" w:styleId="12">
    <w:name w:val="正文文本 Char"/>
    <w:link w:val="2"/>
    <w:uiPriority w:val="0"/>
    <w:rPr>
      <w:rFonts w:ascii="仿宋_GB2312" w:hAnsi="Times New Roman" w:eastAsia="仿宋_GB2312" w:cs="Times New Roman"/>
      <w:sz w:val="30"/>
      <w:szCs w:val="24"/>
    </w:rPr>
  </w:style>
  <w:style w:type="paragraph" w:customStyle="1" w:styleId="13">
    <w:name w:val="Default"/>
    <w:uiPriority w:val="0"/>
    <w:pPr>
      <w:widowControl w:val="0"/>
      <w:autoSpaceDE w:val="0"/>
      <w:autoSpaceDN w:val="0"/>
      <w:adjustRightInd w:val="0"/>
    </w:pPr>
    <w:rPr>
      <w:rFonts w:ascii="仿宋" w:hAnsi="Calibri"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D0D9A2-5002-45AF-8DEF-75A98CDD6B7F}">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8</Pages>
  <Words>607</Words>
  <Characters>3466</Characters>
  <Lines>28</Lines>
  <Paragraphs>8</Paragraphs>
  <TotalTime>283</TotalTime>
  <ScaleCrop>false</ScaleCrop>
  <LinksUpToDate>false</LinksUpToDate>
  <CharactersWithSpaces>4065</CharactersWithSpaces>
  <Application>WPS Office_10.1.0.7468_F1E327BC-269C-435d-A152-05C5408002CA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2018-08-20T02:52:00Z</dcterms:created>
  <dc:creator>张彬茜</dc:creator>
  <cp:lastModifiedBy>lenovo</cp:lastModifiedBy>
  <cp:lastPrinted>2018-08-03T03:03:00Z</cp:lastPrinted>
  <dcterms:modified xsi:type="dcterms:W3CDTF">2018-08-29T02:51:24Z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