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宋体" w:hAnsi="宋体"/>
          <w:color w:val="000000"/>
          <w:sz w:val="52"/>
          <w:szCs w:val="52"/>
        </w:rPr>
      </w:pPr>
      <w:r>
        <w:rPr>
          <w:rFonts w:hint="eastAsia" w:ascii="宋体" w:hAnsi="宋体"/>
          <w:color w:val="000000"/>
          <w:sz w:val="52"/>
          <w:szCs w:val="52"/>
        </w:rPr>
        <w:t>苍溪县供销合作社联合社</w:t>
      </w:r>
    </w:p>
    <w:p>
      <w:pPr>
        <w:pStyle w:val="2"/>
        <w:jc w:val="center"/>
        <w:rPr>
          <w:rFonts w:hint="eastAsia" w:ascii="宋体" w:hAnsi="宋体"/>
          <w:sz w:val="52"/>
          <w:szCs w:val="52"/>
        </w:rPr>
      </w:pPr>
      <w:r>
        <w:rPr>
          <w:rFonts w:hint="eastAsia" w:ascii="宋体" w:hAnsi="宋体"/>
          <w:sz w:val="52"/>
          <w:szCs w:val="52"/>
        </w:rPr>
        <w:t>2017年部门决算说明</w:t>
      </w:r>
    </w:p>
    <w:p>
      <w:pPr>
        <w:keepNext w:val="0"/>
        <w:keepLines w:val="0"/>
        <w:widowControl/>
        <w:suppressLineNumbers w:val="0"/>
        <w:spacing w:before="75" w:beforeAutospacing="0" w:after="75" w:afterAutospacing="0"/>
        <w:ind w:right="0"/>
        <w:jc w:val="left"/>
        <w:rPr>
          <w:rFonts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一、基本职能及主要工作</w:t>
      </w:r>
    </w:p>
    <w:p>
      <w:pPr>
        <w:pStyle w:val="3"/>
        <w:keepNext w:val="0"/>
        <w:keepLines w:val="0"/>
        <w:widowControl/>
        <w:suppressLineNumbers w:val="0"/>
        <w:spacing w:before="75" w:beforeAutospacing="0" w:after="75" w:afterAutospacing="0"/>
        <w:ind w:left="0" w:right="0" w:firstLine="632"/>
        <w:rPr>
          <w:rFonts w:hint="default" w:ascii="宋体" w:hAnsi="宋体" w:eastAsia="宋体" w:cs="宋体"/>
          <w:b/>
          <w:i w:val="0"/>
          <w:caps w:val="0"/>
          <w:color w:val="000000"/>
          <w:spacing w:val="0"/>
          <w:sz w:val="30"/>
          <w:szCs w:val="30"/>
        </w:rPr>
      </w:pPr>
      <w:r>
        <w:rPr>
          <w:rFonts w:hint="eastAsia" w:ascii="宋体" w:hAnsi="宋体" w:eastAsia="宋体" w:cs="宋体"/>
          <w:b/>
          <w:i w:val="0"/>
          <w:caps w:val="0"/>
          <w:color w:val="000000"/>
          <w:spacing w:val="0"/>
          <w:sz w:val="30"/>
          <w:szCs w:val="30"/>
        </w:rPr>
        <w:t>（</w:t>
      </w:r>
      <w:r>
        <w:rPr>
          <w:rFonts w:hint="eastAsia" w:ascii="宋体" w:hAnsi="宋体" w:eastAsia="宋体" w:cs="宋体"/>
          <w:b/>
          <w:i w:val="0"/>
          <w:caps w:val="0"/>
          <w:color w:val="000000"/>
          <w:spacing w:val="0"/>
          <w:sz w:val="30"/>
          <w:szCs w:val="30"/>
        </w:rPr>
        <w:t>一）主要职能。</w:t>
      </w:r>
    </w:p>
    <w:p>
      <w:pPr>
        <w:pStyle w:val="3"/>
        <w:keepNext w:val="0"/>
        <w:keepLines w:val="0"/>
        <w:widowControl/>
        <w:suppressLineNumbers w:val="0"/>
        <w:spacing w:before="75" w:beforeAutospacing="0" w:after="75" w:afterAutospacing="0"/>
        <w:ind w:left="0" w:right="0" w:firstLine="630"/>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sz w:val="32"/>
          <w:szCs w:val="32"/>
        </w:rPr>
        <w:t>1、宣传贯彻党中央、国务院及省、市、县党委、政府有关供销社工作的方针政策；</w:t>
      </w:r>
    </w:p>
    <w:p>
      <w:pPr>
        <w:pStyle w:val="3"/>
        <w:keepNext w:val="0"/>
        <w:keepLines w:val="0"/>
        <w:widowControl/>
        <w:suppressLineNumbers w:val="0"/>
        <w:spacing w:before="75" w:beforeAutospacing="0" w:after="75" w:afterAutospacing="0"/>
        <w:ind w:left="0" w:right="0" w:firstLine="630"/>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sz w:val="32"/>
          <w:szCs w:val="32"/>
        </w:rPr>
        <w:t>2、负责对全县供销社进行指导、服务、协调、监督等行业管理；研究制定全县供销社发展规划、加快机制、体制创新；</w:t>
      </w:r>
    </w:p>
    <w:p>
      <w:pPr>
        <w:pStyle w:val="3"/>
        <w:keepNext w:val="0"/>
        <w:keepLines w:val="0"/>
        <w:widowControl/>
        <w:suppressLineNumbers w:val="0"/>
        <w:spacing w:before="75" w:beforeAutospacing="0" w:after="75" w:afterAutospacing="0"/>
        <w:ind w:left="0" w:right="0" w:firstLine="630"/>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sz w:val="32"/>
          <w:szCs w:val="32"/>
        </w:rPr>
        <w:t>3、按照政府授权对全县重要农业生产资料、农副产品及政策性商品经营进行组织、协调、管理；协助相关部门做好有关救灾物资的组织、调运、储备工作；</w:t>
      </w:r>
    </w:p>
    <w:p>
      <w:pPr>
        <w:pStyle w:val="3"/>
        <w:keepNext w:val="0"/>
        <w:keepLines w:val="0"/>
        <w:widowControl/>
        <w:suppressLineNumbers w:val="0"/>
        <w:spacing w:before="75" w:beforeAutospacing="0" w:after="75" w:afterAutospacing="0"/>
        <w:ind w:left="0" w:right="0" w:firstLine="630"/>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sz w:val="32"/>
          <w:szCs w:val="32"/>
        </w:rPr>
        <w:t>4、研究供销社运行中的重大问题，了解、反映供销社系统和农民群众的意见和要求，维护供销社和农民群众的合法权益；</w:t>
      </w:r>
    </w:p>
    <w:p>
      <w:pPr>
        <w:pStyle w:val="3"/>
        <w:keepNext w:val="0"/>
        <w:keepLines w:val="0"/>
        <w:widowControl/>
        <w:suppressLineNumbers w:val="0"/>
        <w:spacing w:before="75" w:beforeAutospacing="0" w:after="75" w:afterAutospacing="0"/>
        <w:ind w:left="0" w:right="0" w:firstLine="630"/>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sz w:val="32"/>
          <w:szCs w:val="32"/>
        </w:rPr>
        <w:t>5、组织全县供销社系统参与推进农业产业化经营；组织发展各类专业合作社、社区服务社、消费合作社等中介组织；加强农村商品供求、市场、信息服务体系建设；</w:t>
      </w:r>
    </w:p>
    <w:p>
      <w:pPr>
        <w:pStyle w:val="3"/>
        <w:keepNext w:val="0"/>
        <w:keepLines w:val="0"/>
        <w:widowControl/>
        <w:suppressLineNumbers w:val="0"/>
        <w:spacing w:before="75" w:beforeAutospacing="0" w:after="75" w:afterAutospacing="0"/>
        <w:ind w:left="0" w:right="0" w:firstLine="630"/>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sz w:val="32"/>
          <w:szCs w:val="32"/>
        </w:rPr>
        <w:t>6、围绕建立和完善农业社会化服务体系，培育农产品市场、规范农村网点建设，搞好农资科技服务；做好农业、农村、农民服务工作，促进农村经济发展和农民收入水平提高；</w:t>
      </w:r>
    </w:p>
    <w:p>
      <w:pPr>
        <w:pStyle w:val="3"/>
        <w:keepNext w:val="0"/>
        <w:keepLines w:val="0"/>
        <w:widowControl/>
        <w:suppressLineNumbers w:val="0"/>
        <w:spacing w:before="75" w:beforeAutospacing="0" w:after="75" w:afterAutospacing="0"/>
        <w:ind w:left="0" w:right="0" w:firstLine="630"/>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sz w:val="32"/>
          <w:szCs w:val="32"/>
        </w:rPr>
        <w:t>7、监督和管理社有资产，确保社有资产保值增值；指导全县供销社社有资产的管理；</w:t>
      </w:r>
    </w:p>
    <w:p>
      <w:pPr>
        <w:pStyle w:val="3"/>
        <w:keepNext w:val="0"/>
        <w:keepLines w:val="0"/>
        <w:widowControl/>
        <w:suppressLineNumbers w:val="0"/>
        <w:spacing w:before="75" w:beforeAutospacing="0" w:after="75" w:afterAutospacing="0"/>
        <w:ind w:left="0" w:right="0" w:firstLine="0"/>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sz w:val="32"/>
          <w:szCs w:val="32"/>
        </w:rPr>
        <w:t>      8、完成县政府交办的其他工作任务。</w:t>
      </w:r>
    </w:p>
    <w:p>
      <w:pPr>
        <w:pStyle w:val="3"/>
        <w:keepNext w:val="0"/>
        <w:keepLines w:val="0"/>
        <w:widowControl/>
        <w:suppressLineNumbers w:val="0"/>
        <w:spacing w:before="75" w:beforeAutospacing="0" w:after="75" w:afterAutospacing="0"/>
        <w:ind w:left="0" w:right="0" w:firstLine="632"/>
        <w:rPr>
          <w:rFonts w:hint="default" w:ascii="宋体" w:hAnsi="宋体" w:eastAsia="宋体" w:cs="宋体"/>
          <w:b/>
          <w:i w:val="0"/>
          <w:caps w:val="0"/>
          <w:color w:val="000000"/>
          <w:spacing w:val="0"/>
          <w:sz w:val="30"/>
          <w:szCs w:val="30"/>
        </w:rPr>
      </w:pPr>
      <w:r>
        <w:rPr>
          <w:rFonts w:hint="eastAsia" w:ascii="宋体" w:hAnsi="宋体" w:eastAsia="宋体" w:cs="宋体"/>
          <w:b/>
          <w:i w:val="0"/>
          <w:caps w:val="0"/>
          <w:color w:val="000000"/>
          <w:spacing w:val="0"/>
          <w:sz w:val="30"/>
          <w:szCs w:val="30"/>
        </w:rPr>
        <w:t>（二）2017年重点工作完成情况。</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1.全系统累计实现商品购进总额 4.5亿元、商品销售总5.1亿元，分别完成年度目标任务的104.7%、106.3%。</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2.帮助农民推销各类农副产品1.9亿元，完成年度目标任务105.6%，同比增长21.1%。</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3.实现社会消费品零售总额6635万元，完成年度目标任务105.5 %，同比增长5.3%。</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4.组织供应7.8万吨、农药1006吨、农膜 358吨，分别完成目标任务120%、111.8%、127.9%。</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5.规范完善农资农家店 110个，完成目标任务110%；</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6.规范完善农村社区综合服务社68个，完成目标任务113.3%；</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7.规范完善庄稼医院72个，完成目标任务120%；</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8.规范完善再生资源回收利用网点60个，完成目标任务120%；</w:t>
      </w:r>
    </w:p>
    <w:p>
      <w:pPr>
        <w:keepNext w:val="0"/>
        <w:keepLines w:val="0"/>
        <w:widowControl/>
        <w:suppressLineNumbers w:val="0"/>
        <w:spacing w:before="75" w:beforeAutospacing="0" w:after="75" w:afterAutospacing="0"/>
        <w:ind w:left="0" w:right="0" w:firstLine="15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9.规范完善农民专业合作社30个，完成目标任务150%；</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10.脱贫攻坚联系帮扶白鹤乡上游、张山、茨垭3个村的“七个一”帮扶工作机制全面落实，其中：上游村双退出各项目标得到巩固提升。</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11.落实储备项目8个，完成目标任务100%。</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12.招商引资完成6000万元，占目标任务的100%。</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13.在歧坪镇天星现代农业园区新建标准化为农服务中心（超市）1个，完成目标任务100%。完成了政府交办的任务。</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14.强化产业发展，巩固提升农业标准化生产示范基地5个，开展土地托管3000亩，种植猕猴桃5050亩、川明参2000亩，带动农户6800户增收致富。</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15.抓好废弃农膜收集和处理体系建设，已建回收站（点）886个，100%完成了目标任务。</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二、部门概况</w:t>
      </w:r>
    </w:p>
    <w:p>
      <w:pPr>
        <w:keepNext w:val="0"/>
        <w:keepLines w:val="0"/>
        <w:widowControl/>
        <w:suppressLineNumbers w:val="0"/>
        <w:spacing w:before="75" w:beforeAutospacing="0" w:after="75" w:afterAutospacing="0"/>
        <w:ind w:left="0" w:right="0" w:firstLine="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0"/>
          <w:szCs w:val="30"/>
          <w:lang w:val="en-US" w:eastAsia="zh-CN" w:bidi="ar"/>
        </w:rPr>
        <w:t>   </w:t>
      </w:r>
      <w:r>
        <w:rPr>
          <w:rFonts w:hint="eastAsia" w:ascii="宋体" w:hAnsi="宋体" w:eastAsia="宋体" w:cs="宋体"/>
          <w:i w:val="0"/>
          <w:caps w:val="0"/>
          <w:color w:val="000000"/>
          <w:spacing w:val="0"/>
          <w:kern w:val="0"/>
          <w:sz w:val="32"/>
          <w:szCs w:val="32"/>
          <w:lang w:val="en-US" w:eastAsia="zh-CN" w:bidi="ar"/>
        </w:rPr>
        <w:t>苍溪县供销合作社联合社（以下简称“本部门”）</w:t>
      </w:r>
      <w:r>
        <w:rPr>
          <w:rFonts w:hint="eastAsia" w:ascii="宋体" w:hAnsi="宋体" w:eastAsia="宋体" w:cs="宋体"/>
          <w:i w:val="0"/>
          <w:caps w:val="0"/>
          <w:color w:val="333333"/>
          <w:spacing w:val="0"/>
          <w:kern w:val="0"/>
          <w:sz w:val="32"/>
          <w:szCs w:val="32"/>
          <w:lang w:val="en-US" w:eastAsia="zh-CN" w:bidi="ar"/>
        </w:rPr>
        <w:t>下属二级单位0个，其中行政单位0个，参照公务员法管理的事业单位0个，其他事业单位0个。</w:t>
      </w:r>
    </w:p>
    <w:p>
      <w:pPr>
        <w:pStyle w:val="3"/>
        <w:keepNext w:val="0"/>
        <w:keepLines w:val="0"/>
        <w:widowControl/>
        <w:suppressLineNumbers w:val="0"/>
        <w:spacing w:before="75" w:beforeAutospacing="0" w:after="75" w:afterAutospacing="0"/>
        <w:ind w:left="0" w:right="0" w:firstLine="632"/>
        <w:rPr>
          <w:rFonts w:hint="default" w:ascii="Tahoma" w:hAnsi="Tahoma" w:eastAsia="Tahoma" w:cs="Tahoma"/>
          <w:i w:val="0"/>
          <w:caps w:val="0"/>
          <w:color w:val="333333"/>
          <w:spacing w:val="0"/>
          <w:sz w:val="30"/>
          <w:szCs w:val="30"/>
        </w:rPr>
      </w:pPr>
      <w:r>
        <w:rPr>
          <w:rFonts w:hint="eastAsia" w:ascii="宋体" w:hAnsi="宋体" w:eastAsia="宋体" w:cs="宋体"/>
          <w:b/>
          <w:i w:val="0"/>
          <w:caps w:val="0"/>
          <w:color w:val="000000"/>
          <w:spacing w:val="0"/>
          <w:sz w:val="30"/>
          <w:szCs w:val="30"/>
        </w:rPr>
        <w:t>三、收支决算总体情况说明</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本部门本年收入合计2404.84万元，其中：一般公共预算财政拨款收入2404.84万元，占100%；政府性基金预算财政拨款收入0万元，占0%；国有资本经营预算财政拨款收入0万元，占0%；事业收入0万元，占0%；经营收入0万元，占0%；附属单位上缴收入0万元，占0%；其他收入0万元，占0%。本年收入较上年度增加2156万元，增加865.86%，增加</w:t>
      </w:r>
      <w:r>
        <w:rPr>
          <w:rStyle w:val="5"/>
          <w:rFonts w:hint="eastAsia" w:ascii="宋体" w:hAnsi="宋体" w:eastAsia="宋体" w:cs="宋体"/>
          <w:b w:val="0"/>
          <w:i w:val="0"/>
          <w:caps w:val="0"/>
          <w:color w:val="000000"/>
          <w:spacing w:val="0"/>
          <w:kern w:val="0"/>
          <w:sz w:val="32"/>
          <w:szCs w:val="32"/>
          <w:lang w:val="en-US" w:eastAsia="zh-CN" w:bidi="ar"/>
        </w:rPr>
        <w:t>主要原因是财政项目拨款增加</w:t>
      </w:r>
      <w:r>
        <w:rPr>
          <w:rFonts w:hint="eastAsia" w:ascii="宋体" w:hAnsi="宋体" w:eastAsia="宋体" w:cs="宋体"/>
          <w:i w:val="0"/>
          <w:caps w:val="0"/>
          <w:color w:val="000000"/>
          <w:spacing w:val="0"/>
          <w:kern w:val="0"/>
          <w:sz w:val="32"/>
          <w:szCs w:val="32"/>
          <w:lang w:val="en-US" w:eastAsia="zh-CN" w:bidi="ar"/>
        </w:rPr>
        <w:t>。</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本部门本年支出合计2404.84万元，其中：基本支出229.84万元，占9.56%；项目支出2175万元，占90.44%；上缴上级支出0万元，占0%；经营支出0万元，占0%；对附属单位补助支出0万元，占0%。本年支出较上年度增加2156万元，增长865.86%，增加</w:t>
      </w:r>
      <w:r>
        <w:rPr>
          <w:rStyle w:val="5"/>
          <w:rFonts w:hint="eastAsia" w:ascii="宋体" w:hAnsi="宋体" w:eastAsia="宋体" w:cs="宋体"/>
          <w:b w:val="0"/>
          <w:i w:val="0"/>
          <w:caps w:val="0"/>
          <w:color w:val="000000"/>
          <w:spacing w:val="0"/>
          <w:kern w:val="0"/>
          <w:sz w:val="32"/>
          <w:szCs w:val="32"/>
          <w:lang w:val="en-US" w:eastAsia="zh-CN" w:bidi="ar"/>
        </w:rPr>
        <w:t>主要原因是财政项目拨款增加</w:t>
      </w:r>
      <w:r>
        <w:rPr>
          <w:rFonts w:hint="eastAsia" w:ascii="宋体" w:hAnsi="宋体" w:eastAsia="宋体" w:cs="宋体"/>
          <w:i w:val="0"/>
          <w:caps w:val="0"/>
          <w:color w:val="000000"/>
          <w:spacing w:val="0"/>
          <w:kern w:val="0"/>
          <w:sz w:val="32"/>
          <w:szCs w:val="32"/>
          <w:lang w:val="en-US" w:eastAsia="zh-CN" w:bidi="ar"/>
        </w:rPr>
        <w:t>。</w:t>
      </w:r>
    </w:p>
    <w:p>
      <w:pPr>
        <w:pStyle w:val="3"/>
        <w:keepNext w:val="0"/>
        <w:keepLines w:val="0"/>
        <w:widowControl/>
        <w:suppressLineNumbers w:val="0"/>
        <w:spacing w:before="75" w:beforeAutospacing="0" w:after="75" w:afterAutospacing="0"/>
        <w:ind w:left="0" w:right="0" w:firstLine="632"/>
        <w:rPr>
          <w:rFonts w:hint="default" w:ascii="宋体" w:hAnsi="宋体" w:eastAsia="宋体" w:cs="宋体"/>
          <w:b/>
          <w:i w:val="0"/>
          <w:caps w:val="0"/>
          <w:color w:val="000000"/>
          <w:spacing w:val="0"/>
          <w:sz w:val="30"/>
          <w:szCs w:val="30"/>
        </w:rPr>
      </w:pPr>
      <w:r>
        <w:rPr>
          <w:rFonts w:hint="eastAsia" w:ascii="宋体" w:hAnsi="宋体" w:eastAsia="宋体" w:cs="宋体"/>
          <w:b/>
          <w:i w:val="0"/>
          <w:caps w:val="0"/>
          <w:color w:val="000000"/>
          <w:spacing w:val="0"/>
          <w:sz w:val="30"/>
          <w:szCs w:val="30"/>
          <w:lang w:val="en-US" w:eastAsia="zh-CN"/>
        </w:rPr>
        <w:t>四、财政拨款收入支出决算总体情况说明</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2017年度本部门财政拨款收入总计2432.54万元、财政拨款支出总计2432.54万元。与2016年相比，财政拨款收入增加2155.85万元，增长779.16%、财政拨款支出总计增加2155.85万元，增长779.16%。</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五、一般公共预算财政拨款支出决算情况说明</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（一）一般公共预算财政拨款支出决算总体情况</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2017年度本部门一般公共预算财政拨款支出2404.84万元，占本年支出合计的100%。与2016年相比，一般公共预算财政拨款增加2156万元，增长865.86%。</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（二）一般公共预算财政拨款支出决算结构情况</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2017年本部门一般公共预算财政拨款支出2404.84万元，主要用于以下方面:</w:t>
      </w:r>
      <w:r>
        <w:rPr>
          <w:rFonts w:hint="eastAsia" w:ascii="宋体" w:hAnsi="宋体" w:eastAsia="宋体" w:cs="宋体"/>
          <w:i w:val="0"/>
          <w:caps w:val="0"/>
          <w:color w:val="333333"/>
          <w:spacing w:val="0"/>
          <w:kern w:val="0"/>
          <w:sz w:val="32"/>
          <w:szCs w:val="32"/>
          <w:lang w:val="en-US" w:eastAsia="zh-CN" w:bidi="ar"/>
        </w:rPr>
        <w:t> </w:t>
      </w:r>
      <w:r>
        <w:rPr>
          <w:rFonts w:hint="eastAsia" w:ascii="宋体" w:hAnsi="宋体" w:eastAsia="宋体" w:cs="宋体"/>
          <w:i w:val="0"/>
          <w:caps w:val="0"/>
          <w:color w:val="000000"/>
          <w:spacing w:val="0"/>
          <w:kern w:val="0"/>
          <w:sz w:val="32"/>
          <w:szCs w:val="32"/>
          <w:lang w:val="en-US" w:eastAsia="zh-CN" w:bidi="ar"/>
        </w:rPr>
        <w:t>商业服务业等支出2351.32万元，占97.75%；社会保障和就业支出26.5万元，占1.12%；医疗卫生支出11.16万元，占0.46%；住房保障支出15.86万元，占0.67%。</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（三）一般公共预算财政拨款支出决算具体情况</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1.商业服务业等支出-商业流通事务-行政运行支出：</w:t>
      </w:r>
      <w:r>
        <w:rPr>
          <w:rFonts w:hint="eastAsia" w:ascii="宋体" w:hAnsi="宋体" w:eastAsia="宋体" w:cs="宋体"/>
          <w:i w:val="0"/>
          <w:caps w:val="0"/>
          <w:color w:val="333333"/>
          <w:spacing w:val="0"/>
          <w:kern w:val="0"/>
          <w:sz w:val="32"/>
          <w:szCs w:val="32"/>
          <w:lang w:val="en-US" w:eastAsia="zh-CN" w:bidi="ar"/>
        </w:rPr>
        <w:t>支出决算数为176.32万元，</w:t>
      </w:r>
      <w:r>
        <w:rPr>
          <w:rStyle w:val="5"/>
          <w:rFonts w:hint="eastAsia" w:ascii="宋体" w:hAnsi="宋体" w:eastAsia="宋体" w:cs="宋体"/>
          <w:b w:val="0"/>
          <w:i w:val="0"/>
          <w:caps w:val="0"/>
          <w:color w:val="000000"/>
          <w:spacing w:val="0"/>
          <w:kern w:val="0"/>
          <w:sz w:val="32"/>
          <w:szCs w:val="32"/>
          <w:lang w:val="en-US" w:eastAsia="zh-CN" w:bidi="ar"/>
        </w:rPr>
        <w:t>完成预算86.70%，主要原因是上年结余经费未使用。</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 商业服务业等支出-商业流通事务-一般行政管理事务支出：</w:t>
      </w:r>
      <w:r>
        <w:rPr>
          <w:rFonts w:hint="eastAsia" w:ascii="宋体" w:hAnsi="宋体" w:eastAsia="宋体" w:cs="宋体"/>
          <w:i w:val="0"/>
          <w:caps w:val="0"/>
          <w:color w:val="333333"/>
          <w:spacing w:val="0"/>
          <w:kern w:val="0"/>
          <w:sz w:val="32"/>
          <w:szCs w:val="32"/>
          <w:lang w:val="en-US" w:eastAsia="zh-CN" w:bidi="ar"/>
        </w:rPr>
        <w:t>支出决算数为32万元，</w:t>
      </w:r>
      <w:r>
        <w:rPr>
          <w:rStyle w:val="5"/>
          <w:rFonts w:hint="eastAsia" w:ascii="宋体" w:hAnsi="宋体" w:eastAsia="宋体" w:cs="宋体"/>
          <w:b w:val="0"/>
          <w:i w:val="0"/>
          <w:caps w:val="0"/>
          <w:color w:val="000000"/>
          <w:spacing w:val="0"/>
          <w:kern w:val="0"/>
          <w:sz w:val="32"/>
          <w:szCs w:val="32"/>
          <w:lang w:val="en-US" w:eastAsia="zh-CN" w:bidi="ar"/>
        </w:rPr>
        <w:t>完成预算100%</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3. 商业服务业等支出-商业流通事务-其他商业流通事务支出：</w:t>
      </w:r>
      <w:r>
        <w:rPr>
          <w:rFonts w:hint="eastAsia" w:ascii="宋体" w:hAnsi="宋体" w:eastAsia="宋体" w:cs="宋体"/>
          <w:i w:val="0"/>
          <w:caps w:val="0"/>
          <w:color w:val="333333"/>
          <w:spacing w:val="0"/>
          <w:kern w:val="0"/>
          <w:sz w:val="32"/>
          <w:szCs w:val="32"/>
          <w:lang w:val="en-US" w:eastAsia="zh-CN" w:bidi="ar"/>
        </w:rPr>
        <w:t>支出决算数为2143万元，</w:t>
      </w:r>
      <w:r>
        <w:rPr>
          <w:rStyle w:val="5"/>
          <w:rFonts w:hint="eastAsia" w:ascii="宋体" w:hAnsi="宋体" w:eastAsia="宋体" w:cs="宋体"/>
          <w:b w:val="0"/>
          <w:i w:val="0"/>
          <w:caps w:val="0"/>
          <w:color w:val="000000"/>
          <w:spacing w:val="0"/>
          <w:kern w:val="0"/>
          <w:sz w:val="32"/>
          <w:szCs w:val="32"/>
          <w:lang w:val="en-US" w:eastAsia="zh-CN" w:bidi="ar"/>
        </w:rPr>
        <w:t>完成预算100%</w:t>
      </w:r>
    </w:p>
    <w:p>
      <w:pPr>
        <w:keepNext w:val="0"/>
        <w:keepLines w:val="0"/>
        <w:widowControl/>
        <w:suppressLineNumbers w:val="0"/>
        <w:spacing w:before="75" w:beforeAutospacing="0" w:after="75" w:afterAutospacing="0"/>
        <w:ind w:left="0" w:right="0" w:firstLine="3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4.社会保障和就业-行政事业单位离退休-机关事业单位基本养老保险缴费支出: 支出决算数为26.5万元，</w:t>
      </w:r>
      <w:r>
        <w:rPr>
          <w:rStyle w:val="5"/>
          <w:rFonts w:hint="eastAsia" w:ascii="宋体" w:hAnsi="宋体" w:eastAsia="宋体" w:cs="宋体"/>
          <w:b w:val="0"/>
          <w:i w:val="0"/>
          <w:caps w:val="0"/>
          <w:color w:val="000000"/>
          <w:spacing w:val="0"/>
          <w:kern w:val="0"/>
          <w:sz w:val="32"/>
          <w:szCs w:val="32"/>
          <w:lang w:val="en-US" w:eastAsia="zh-CN" w:bidi="ar"/>
        </w:rPr>
        <w:t>完成预算100%。</w:t>
      </w:r>
    </w:p>
    <w:p>
      <w:pPr>
        <w:keepNext w:val="0"/>
        <w:keepLines w:val="0"/>
        <w:widowControl/>
        <w:suppressLineNumbers w:val="0"/>
        <w:spacing w:before="75" w:beforeAutospacing="0" w:after="75" w:afterAutospacing="0"/>
        <w:ind w:left="0" w:right="0" w:firstLine="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   5.医疗卫生与计划生育-医疗保障-行政单位医疗支出: 支出决算数为11.16万元，</w:t>
      </w:r>
      <w:r>
        <w:rPr>
          <w:rStyle w:val="5"/>
          <w:rFonts w:hint="eastAsia" w:ascii="宋体" w:hAnsi="宋体" w:eastAsia="宋体" w:cs="宋体"/>
          <w:b w:val="0"/>
          <w:i w:val="0"/>
          <w:caps w:val="0"/>
          <w:color w:val="000000"/>
          <w:spacing w:val="0"/>
          <w:kern w:val="0"/>
          <w:sz w:val="32"/>
          <w:szCs w:val="32"/>
          <w:lang w:val="en-US" w:eastAsia="zh-CN" w:bidi="ar"/>
        </w:rPr>
        <w:t>完成预算100%。</w:t>
      </w:r>
    </w:p>
    <w:p>
      <w:pPr>
        <w:keepNext w:val="0"/>
        <w:keepLines w:val="0"/>
        <w:widowControl/>
        <w:suppressLineNumbers w:val="0"/>
        <w:spacing w:before="75" w:beforeAutospacing="0" w:after="75" w:afterAutospacing="0"/>
        <w:ind w:left="0" w:right="0" w:firstLine="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333333"/>
          <w:spacing w:val="0"/>
          <w:kern w:val="0"/>
          <w:sz w:val="32"/>
          <w:szCs w:val="32"/>
          <w:lang w:val="en-US" w:eastAsia="zh-CN" w:bidi="ar"/>
        </w:rPr>
        <w:t>6.住房保障-住房改革-住房公积金支出: 支出决算数为15.86万元，</w:t>
      </w:r>
      <w:r>
        <w:rPr>
          <w:rStyle w:val="5"/>
          <w:rFonts w:hint="eastAsia" w:ascii="宋体" w:hAnsi="宋体" w:eastAsia="宋体" w:cs="宋体"/>
          <w:b w:val="0"/>
          <w:i w:val="0"/>
          <w:caps w:val="0"/>
          <w:color w:val="000000"/>
          <w:spacing w:val="0"/>
          <w:kern w:val="0"/>
          <w:sz w:val="32"/>
          <w:szCs w:val="32"/>
          <w:lang w:val="en-US" w:eastAsia="zh-CN" w:bidi="ar"/>
        </w:rPr>
        <w:t>完成预算100%。</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六、一般公共预算财政拨款基本支出决算情况说明</w:t>
      </w:r>
    </w:p>
    <w:p>
      <w:pPr>
        <w:keepNext w:val="0"/>
        <w:keepLines w:val="0"/>
        <w:widowControl/>
        <w:suppressLineNumbers w:val="0"/>
        <w:spacing w:before="75" w:beforeAutospacing="0" w:after="75" w:afterAutospacing="0"/>
        <w:ind w:left="0" w:right="0" w:firstLine="645"/>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2017年度本部门一般公共预算财政拨款基本支出229.84万元，其中：</w:t>
      </w:r>
    </w:p>
    <w:p>
      <w:pPr>
        <w:keepNext w:val="0"/>
        <w:keepLines w:val="0"/>
        <w:widowControl/>
        <w:suppressLineNumbers w:val="0"/>
        <w:spacing w:before="75" w:beforeAutospacing="0" w:after="75" w:afterAutospacing="0"/>
        <w:ind w:left="0" w:right="0" w:firstLine="645"/>
        <w:jc w:val="left"/>
        <w:rPr>
          <w:rFonts w:hint="default" w:ascii="Tahoma" w:hAnsi="Tahoma" w:eastAsia="Tahoma" w:cs="Tahoma"/>
          <w:i w:val="0"/>
          <w:caps w:val="0"/>
          <w:color w:val="333333"/>
          <w:spacing w:val="0"/>
          <w:sz w:val="21"/>
          <w:szCs w:val="21"/>
        </w:rPr>
      </w:pPr>
      <w:r>
        <w:rPr>
          <w:rFonts w:hint="eastAsia" w:ascii="宋体" w:hAnsi="宋体" w:eastAsia="宋体" w:cs="宋体"/>
          <w:i w:val="0"/>
          <w:caps w:val="0"/>
          <w:color w:val="000000"/>
          <w:spacing w:val="0"/>
          <w:kern w:val="0"/>
          <w:sz w:val="32"/>
          <w:szCs w:val="32"/>
          <w:lang w:val="en-US" w:eastAsia="zh-CN" w:bidi="ar"/>
        </w:rPr>
        <w:t>人员经费211.24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r>
        <w:rPr>
          <w:rFonts w:hint="eastAsia" w:ascii="宋体" w:hAnsi="宋体" w:eastAsia="宋体" w:cs="宋体"/>
          <w:i w:val="0"/>
          <w:caps w:val="0"/>
          <w:color w:val="000000"/>
          <w:spacing w:val="0"/>
          <w:kern w:val="0"/>
          <w:sz w:val="32"/>
          <w:szCs w:val="32"/>
          <w:lang w:val="en-US" w:eastAsia="zh-CN" w:bidi="ar"/>
        </w:rPr>
        <w:br w:type="textWrapping"/>
      </w:r>
      <w:r>
        <w:rPr>
          <w:rFonts w:hint="eastAsia" w:ascii="宋体" w:hAnsi="宋体" w:eastAsia="宋体" w:cs="宋体"/>
          <w:i w:val="0"/>
          <w:caps w:val="0"/>
          <w:color w:val="000000"/>
          <w:spacing w:val="0"/>
          <w:kern w:val="0"/>
          <w:sz w:val="32"/>
          <w:szCs w:val="32"/>
          <w:lang w:val="en-US" w:eastAsia="zh-CN" w:bidi="ar"/>
        </w:rPr>
        <w:t>公用经费18.6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七、“三公”经费财政拨款支出决算情况说明</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（一）“三公”经费财政拨款支出决算总体情况说明</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2017年本部门“三公”经费财政拨款支出决算为1.14万元，完成预算100%，决算数预算数持平。</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（二）“三公”经费财政拨款支出决算具体情况说明</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2017年度本部门“三公”经费财政拨款支出决算中，因公出国（境）费支出决算0万元，占0%；公务用车购置及运行维护费支出决算0万元，占0%；公务接待费支出决算1.14万元，占100%。具体情况如下：</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1.因公出国（境）经费支出0万元。全年安排因公出国（境）团组0次，出国（境）0人。</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因公出国（境）支出决算与2016年支出决算数都为0。</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2.公务用车购置及运行维护费支出0万元。其中：</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公务用车购置支出0万元。全年按规定更新购置公务用车0辆，其中：轿车0辆、金额0万元，越野车0辆、金额0万元，载客汽车0辆、金额0万元。截至2017年12月底，单位共有公务用车0辆，其中：轿车0辆、越野车0辆、载客汽车0辆。</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公务用车运行维护费支出0万元。</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公务用车购置及运行维护费支出决算比2016年减少3万元，下降100%。主要原因是实行公务用车改革。</w:t>
      </w:r>
    </w:p>
    <w:p>
      <w:pPr>
        <w:keepNext w:val="0"/>
        <w:keepLines w:val="0"/>
        <w:widowControl/>
        <w:suppressLineNumbers w:val="0"/>
        <w:spacing w:before="75" w:beforeAutospacing="0" w:after="75" w:afterAutospacing="0"/>
        <w:ind w:left="0" w:right="0" w:firstLine="45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3.公务接待费支出1.14万元。主要用于执行公务、开展业务活动开支的交通费、住宿费、用餐费等。国内公务接待12批次，118人次（不包括陪同人员），共计支出1.14万元，具体内容包括：</w:t>
      </w:r>
      <w:r>
        <w:rPr>
          <w:rFonts w:hint="eastAsia" w:ascii="宋体" w:hAnsi="宋体" w:eastAsia="宋体" w:cs="宋体"/>
          <w:i w:val="0"/>
          <w:caps w:val="0"/>
          <w:color w:val="333333"/>
          <w:spacing w:val="0"/>
          <w:kern w:val="0"/>
          <w:sz w:val="32"/>
          <w:szCs w:val="32"/>
          <w:lang w:val="en-US" w:eastAsia="zh-CN" w:bidi="ar"/>
        </w:rPr>
        <w:t>接待省社、省内市、县供销社来苍溪督导、考察、取经接待0.7万元，上级行业主管部检查工作、调研工作接待0.25万</w:t>
      </w:r>
      <w:r>
        <w:rPr>
          <w:rFonts w:hint="eastAsia" w:ascii="宋体" w:hAnsi="宋体" w:eastAsia="宋体" w:cs="宋体"/>
          <w:i w:val="0"/>
          <w:caps w:val="0"/>
          <w:color w:val="333333"/>
          <w:spacing w:val="0"/>
          <w:kern w:val="0"/>
          <w:sz w:val="30"/>
          <w:szCs w:val="30"/>
          <w:lang w:val="en-US" w:eastAsia="zh-CN" w:bidi="ar"/>
        </w:rPr>
        <w:t>元，</w:t>
      </w:r>
      <w:r>
        <w:rPr>
          <w:rFonts w:hint="eastAsia" w:ascii="宋体" w:hAnsi="宋体" w:eastAsia="宋体" w:cs="宋体"/>
          <w:i w:val="0"/>
          <w:caps w:val="0"/>
          <w:color w:val="333333"/>
          <w:spacing w:val="0"/>
          <w:kern w:val="0"/>
          <w:sz w:val="32"/>
          <w:szCs w:val="32"/>
          <w:lang w:val="en-US" w:eastAsia="zh-CN" w:bidi="ar"/>
        </w:rPr>
        <w:t>基层供销社回县城研究项目工作、业务工作接待0.19万元，其中：外事接待0批次，0人，共计支出0万元。</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公务接待费支出决算比2016年减少2万元，下降66.67%。主要原因是</w:t>
      </w:r>
      <w:r>
        <w:rPr>
          <w:rFonts w:hint="eastAsia" w:ascii="宋体" w:hAnsi="宋体" w:eastAsia="宋体" w:cs="宋体"/>
          <w:i w:val="0"/>
          <w:caps w:val="0"/>
          <w:color w:val="333333"/>
          <w:spacing w:val="0"/>
          <w:kern w:val="0"/>
          <w:sz w:val="32"/>
          <w:szCs w:val="32"/>
          <w:lang w:val="en-US" w:eastAsia="zh-CN" w:bidi="ar"/>
        </w:rPr>
        <w:t>根据中央八项规定厉行节约</w:t>
      </w:r>
      <w:r>
        <w:rPr>
          <w:rFonts w:hint="eastAsia" w:ascii="宋体" w:hAnsi="宋体" w:eastAsia="宋体" w:cs="宋体"/>
          <w:i w:val="0"/>
          <w:caps w:val="0"/>
          <w:color w:val="000000"/>
          <w:spacing w:val="0"/>
          <w:kern w:val="0"/>
          <w:sz w:val="32"/>
          <w:szCs w:val="32"/>
          <w:lang w:val="en-US" w:eastAsia="zh-CN" w:bidi="ar"/>
        </w:rPr>
        <w:t>。</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八、政府性基金预算支出决算情况说明</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2017年度本部门政府性基金预算拨款支出0万元。</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九、国有资本经营预算支出决算情况说明</w:t>
      </w:r>
    </w:p>
    <w:p>
      <w:pPr>
        <w:keepNext w:val="0"/>
        <w:keepLines w:val="0"/>
        <w:widowControl/>
        <w:suppressLineNumbers w:val="0"/>
        <w:spacing w:before="75" w:beforeAutospacing="0" w:after="75" w:afterAutospacing="0"/>
        <w:ind w:left="0" w:right="0" w:firstLine="64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2017年度本部门国有资本经营预算拨款支出0万元。</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十、其他重要事项的情况说明</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（一）机关运行经费支出情况</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2017年度，本部门机关运行经费支出18.6万元，比2016年增加/减少20万元，下降51.28%。</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（二）政府采购支出情况</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2017年度，本部门政府采购支出总额0万元，其中：政府采购货物支出0万元、政府采购工程支出0万元、政府采购服务支出0万元。授予中小企业合同金额0万元，占政府采购支出总额的0%，其中：授予小微企业合同金额0万元，占政府采购支出总额的0%。</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（三）国有资产占有使用情况</w:t>
      </w:r>
    </w:p>
    <w:p>
      <w:pPr>
        <w:keepNext w:val="0"/>
        <w:keepLines w:val="0"/>
        <w:widowControl/>
        <w:suppressLineNumbers w:val="0"/>
        <w:spacing w:before="75" w:beforeAutospacing="0" w:after="75" w:afterAutospacing="0"/>
        <w:ind w:left="0" w:right="0" w:firstLine="600"/>
        <w:jc w:val="left"/>
        <w:rPr>
          <w:rFonts w:hint="default" w:ascii="Tahoma" w:hAnsi="Tahoma" w:eastAsia="Tahoma" w:cs="Tahoma"/>
          <w:i w:val="0"/>
          <w:caps w:val="0"/>
          <w:color w:val="333333"/>
          <w:spacing w:val="0"/>
          <w:sz w:val="32"/>
          <w:szCs w:val="32"/>
        </w:rPr>
      </w:pPr>
      <w:r>
        <w:rPr>
          <w:rFonts w:hint="eastAsia" w:ascii="宋体" w:hAnsi="宋体" w:eastAsia="宋体" w:cs="宋体"/>
          <w:i w:val="0"/>
          <w:caps w:val="0"/>
          <w:color w:val="000000"/>
          <w:spacing w:val="0"/>
          <w:kern w:val="0"/>
          <w:sz w:val="32"/>
          <w:szCs w:val="32"/>
          <w:lang w:val="en-US" w:eastAsia="zh-CN" w:bidi="ar"/>
        </w:rPr>
        <w:t>截至2017年12月31日，本部门共有车辆0辆，其中：部级领导干部用车0辆、一般公务用车0辆、一般执法执勤用车0辆、特种专业技术用车0辆、其他用车0辆；单价50万元以上通用设备0台（套），单价100万元以上专用设备0台（套）。</w:t>
      </w:r>
    </w:p>
    <w:p>
      <w:pPr>
        <w:keepNext w:val="0"/>
        <w:keepLines w:val="0"/>
        <w:widowControl/>
        <w:suppressLineNumbers w:val="0"/>
        <w:spacing w:before="75" w:beforeAutospacing="0" w:after="75" w:afterAutospacing="0"/>
        <w:ind w:left="0" w:right="0" w:firstLine="602"/>
        <w:jc w:val="left"/>
        <w:rPr>
          <w:rFonts w:hint="default" w:ascii="Tahoma" w:hAnsi="Tahoma" w:eastAsia="Tahoma" w:cs="Tahoma"/>
          <w:i w:val="0"/>
          <w:caps w:val="0"/>
          <w:color w:val="333333"/>
          <w:spacing w:val="0"/>
          <w:sz w:val="21"/>
          <w:szCs w:val="21"/>
        </w:rPr>
      </w:pPr>
      <w:r>
        <w:rPr>
          <w:rFonts w:hint="eastAsia" w:ascii="宋体" w:hAnsi="宋体" w:eastAsia="宋体" w:cs="宋体"/>
          <w:b/>
          <w:i w:val="0"/>
          <w:caps w:val="0"/>
          <w:color w:val="000000"/>
          <w:spacing w:val="0"/>
          <w:kern w:val="0"/>
          <w:sz w:val="30"/>
          <w:szCs w:val="30"/>
          <w:lang w:val="en-US" w:eastAsia="zh-CN" w:bidi="ar"/>
        </w:rPr>
        <w:t>（四）预算绩效情况</w:t>
      </w:r>
    </w:p>
    <w:p>
      <w:pPr>
        <w:keepNext w:val="0"/>
        <w:keepLines w:val="0"/>
        <w:widowControl/>
        <w:suppressLineNumbers w:val="0"/>
        <w:spacing w:before="75" w:beforeAutospacing="0" w:after="75" w:afterAutospacing="0"/>
        <w:ind w:left="0" w:right="0" w:firstLine="60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1.绩效目标管理情况。</w:t>
      </w:r>
    </w:p>
    <w:p>
      <w:pPr>
        <w:keepNext w:val="0"/>
        <w:keepLines w:val="0"/>
        <w:widowControl/>
        <w:suppressLineNumbers w:val="0"/>
        <w:spacing w:before="75" w:beforeAutospacing="0" w:after="75" w:afterAutospacing="0"/>
        <w:ind w:left="0" w:right="0" w:firstLine="60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按照预算绩效管理要求，本部门未对2017年一般公共预算项目支出开展绩效目标管理，共编制绩效目标0个，涉及财政资金0万元，覆盖率达到0%。</w:t>
      </w:r>
    </w:p>
    <w:p>
      <w:pPr>
        <w:keepNext w:val="0"/>
        <w:keepLines w:val="0"/>
        <w:widowControl/>
        <w:suppressLineNumbers w:val="0"/>
        <w:spacing w:before="75" w:beforeAutospacing="0" w:after="75" w:afterAutospacing="0"/>
        <w:ind w:left="0" w:right="0" w:firstLine="60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2.部门整体支出绩效自评开展情况。</w:t>
      </w:r>
    </w:p>
    <w:p>
      <w:pPr>
        <w:keepNext w:val="0"/>
        <w:keepLines w:val="0"/>
        <w:widowControl/>
        <w:suppressLineNumbers w:val="0"/>
        <w:spacing w:before="75" w:beforeAutospacing="0" w:after="75" w:afterAutospacing="0"/>
        <w:ind w:left="0" w:right="0" w:firstLine="60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按照预算绩效管理要求，本部门未对2017年整体支出开展绩效自评。</w:t>
      </w:r>
    </w:p>
    <w:p>
      <w:pPr>
        <w:keepNext w:val="0"/>
        <w:keepLines w:val="0"/>
        <w:widowControl/>
        <w:suppressLineNumbers w:val="0"/>
        <w:spacing w:before="75" w:beforeAutospacing="0" w:after="75" w:afterAutospacing="0"/>
        <w:ind w:left="0" w:right="0" w:firstLine="0"/>
        <w:jc w:val="center"/>
        <w:rPr>
          <w:rFonts w:hint="eastAsia" w:asciiTheme="minorEastAsia" w:hAnsiTheme="minorEastAsia" w:eastAsiaTheme="minorEastAsia" w:cstheme="minorEastAsia"/>
          <w:i w:val="0"/>
          <w:caps w:val="0"/>
          <w:color w:val="000000"/>
          <w:spacing w:val="0"/>
          <w:kern w:val="0"/>
          <w:sz w:val="32"/>
          <w:szCs w:val="32"/>
          <w:lang w:val="en-US" w:eastAsia="zh-CN" w:bidi="ar"/>
        </w:rPr>
      </w:pPr>
    </w:p>
    <w:p>
      <w:pPr>
        <w:keepNext w:val="0"/>
        <w:keepLines w:val="0"/>
        <w:widowControl/>
        <w:suppressLineNumbers w:val="0"/>
        <w:spacing w:before="75" w:beforeAutospacing="0" w:after="75" w:afterAutospacing="0"/>
        <w:ind w:left="0" w:right="0" w:firstLine="0"/>
        <w:jc w:val="center"/>
        <w:rPr>
          <w:rFonts w:hint="eastAsia" w:asciiTheme="minorEastAsia" w:hAnsiTheme="minorEastAsia" w:eastAsiaTheme="minorEastAsia" w:cstheme="minorEastAsia"/>
          <w:i w:val="0"/>
          <w:caps w:val="0"/>
          <w:color w:val="000000"/>
          <w:spacing w:val="0"/>
          <w:kern w:val="0"/>
          <w:sz w:val="32"/>
          <w:szCs w:val="32"/>
          <w:lang w:val="en-US" w:eastAsia="zh-CN" w:bidi="ar"/>
        </w:rPr>
      </w:pPr>
    </w:p>
    <w:p>
      <w:pPr>
        <w:keepNext w:val="0"/>
        <w:keepLines w:val="0"/>
        <w:widowControl/>
        <w:suppressLineNumbers w:val="0"/>
        <w:spacing w:before="75" w:beforeAutospacing="0" w:after="75" w:afterAutospacing="0"/>
        <w:ind w:left="0" w:right="0" w:firstLine="0"/>
        <w:jc w:val="center"/>
        <w:rPr>
          <w:rFonts w:hint="eastAsia" w:asciiTheme="minorEastAsia" w:hAnsiTheme="minorEastAsia" w:eastAsiaTheme="minorEastAsia" w:cstheme="minorEastAsia"/>
          <w:i w:val="0"/>
          <w:caps w:val="0"/>
          <w:color w:val="000000"/>
          <w:spacing w:val="0"/>
          <w:kern w:val="0"/>
          <w:sz w:val="32"/>
          <w:szCs w:val="32"/>
          <w:lang w:val="en-US" w:eastAsia="zh-CN" w:bidi="ar"/>
        </w:rPr>
      </w:pPr>
    </w:p>
    <w:p>
      <w:pPr>
        <w:keepNext w:val="0"/>
        <w:keepLines w:val="0"/>
        <w:widowControl/>
        <w:suppressLineNumbers w:val="0"/>
        <w:spacing w:before="75" w:beforeAutospacing="0" w:after="75" w:afterAutospacing="0"/>
        <w:ind w:left="0" w:right="0" w:firstLine="0"/>
        <w:jc w:val="center"/>
        <w:rPr>
          <w:rFonts w:hint="eastAsia" w:asciiTheme="minorEastAsia" w:hAnsiTheme="minorEastAsia" w:eastAsiaTheme="minorEastAsia" w:cstheme="minorEastAsia"/>
          <w:i w:val="0"/>
          <w:caps w:val="0"/>
          <w:color w:val="000000"/>
          <w:spacing w:val="0"/>
          <w:kern w:val="0"/>
          <w:sz w:val="32"/>
          <w:szCs w:val="32"/>
          <w:lang w:val="en-US" w:eastAsia="zh-CN" w:bidi="ar"/>
        </w:rPr>
      </w:pPr>
    </w:p>
    <w:p>
      <w:pPr>
        <w:keepNext w:val="0"/>
        <w:keepLines w:val="0"/>
        <w:widowControl/>
        <w:suppressLineNumbers w:val="0"/>
        <w:spacing w:before="75" w:beforeAutospacing="0" w:after="75" w:afterAutospacing="0"/>
        <w:ind w:left="0" w:right="0" w:firstLine="0"/>
        <w:jc w:val="center"/>
        <w:rPr>
          <w:rFonts w:hint="eastAsia" w:asciiTheme="minorEastAsia" w:hAnsiTheme="minorEastAsia" w:eastAsiaTheme="minorEastAsia" w:cstheme="minorEastAsia"/>
          <w:i w:val="0"/>
          <w:caps w:val="0"/>
          <w:color w:val="333333"/>
          <w:spacing w:val="0"/>
          <w:sz w:val="32"/>
          <w:szCs w:val="32"/>
        </w:rPr>
      </w:pPr>
      <w:bookmarkStart w:id="0" w:name="_GoBack"/>
      <w:bookmarkEnd w:id="0"/>
      <w:r>
        <w:rPr>
          <w:rFonts w:hint="eastAsia" w:asciiTheme="minorEastAsia" w:hAnsiTheme="minorEastAsia" w:eastAsiaTheme="minorEastAsia" w:cstheme="minorEastAsia"/>
          <w:i w:val="0"/>
          <w:caps w:val="0"/>
          <w:color w:val="000000"/>
          <w:spacing w:val="0"/>
          <w:kern w:val="0"/>
          <w:sz w:val="32"/>
          <w:szCs w:val="32"/>
          <w:lang w:val="en-US" w:eastAsia="zh-CN" w:bidi="ar"/>
        </w:rPr>
        <w:t>2017年部门整体支出绩效评价得分表</w:t>
      </w:r>
    </w:p>
    <w:tbl>
      <w:tblPr>
        <w:tblW w:w="8333" w:type="dxa"/>
        <w:jc w:val="center"/>
        <w:tblInd w:w="2"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
      <w:tblGrid>
        <w:gridCol w:w="707"/>
        <w:gridCol w:w="763"/>
        <w:gridCol w:w="667"/>
        <w:gridCol w:w="1223"/>
        <w:gridCol w:w="2758"/>
        <w:gridCol w:w="1698"/>
        <w:gridCol w:w="517"/>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tcBorders>
              <w:top w:val="single" w:color="auto" w:sz="8" w:space="0"/>
              <w:left w:val="single" w:color="auto" w:sz="8" w:space="0"/>
              <w:bottom w:val="single" w:color="auto" w:sz="8" w:space="0"/>
              <w:right w:val="single" w:color="auto" w:sz="8"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caps w:val="0"/>
                <w:color w:val="000000"/>
                <w:spacing w:val="0"/>
                <w:kern w:val="0"/>
                <w:sz w:val="32"/>
                <w:szCs w:val="32"/>
                <w:lang w:val="en-US" w:eastAsia="zh-CN" w:bidi="ar"/>
              </w:rPr>
              <w:t>一级指标</w:t>
            </w:r>
          </w:p>
        </w:tc>
        <w:tc>
          <w:tcPr>
            <w:tcW w:w="1890" w:type="dxa"/>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caps w:val="0"/>
                <w:color w:val="000000"/>
                <w:spacing w:val="0"/>
                <w:kern w:val="0"/>
                <w:sz w:val="32"/>
                <w:szCs w:val="32"/>
                <w:lang w:val="en-US" w:eastAsia="zh-CN" w:bidi="ar"/>
              </w:rPr>
              <w:t>二级指标</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caps w:val="0"/>
                <w:color w:val="000000"/>
                <w:spacing w:val="0"/>
                <w:kern w:val="0"/>
                <w:sz w:val="32"/>
                <w:szCs w:val="32"/>
                <w:lang w:val="en-US" w:eastAsia="zh-CN" w:bidi="ar"/>
              </w:rPr>
              <w:t>三级指标</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caps w:val="0"/>
                <w:color w:val="000000"/>
                <w:spacing w:val="0"/>
                <w:kern w:val="0"/>
                <w:sz w:val="32"/>
                <w:szCs w:val="32"/>
                <w:lang w:val="en-US" w:eastAsia="zh-CN" w:bidi="ar"/>
              </w:rPr>
              <w:t>得分</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部门决策（25分）</w:t>
            </w: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目标任务（15分）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相关性（5分）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明确性（5分）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合理性（5分）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预算编制（10分）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测算依据（5分）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目标管理（5分）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综合管理（30分）</w:t>
            </w:r>
          </w:p>
        </w:tc>
        <w:tc>
          <w:tcPr>
            <w:tcW w:w="1890" w:type="dxa"/>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中期评估（2分）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执行中期评估（2分）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绩效监控（5分）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预算执行进度监控（2分）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绩效目标动态监控（3分）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非税收入执收情况（2分）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非税收入征收情况（1分）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非税收入上缴情况（1分）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资产管理（6分）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资产管理信息化情况（2分）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行政事业单位资产报告情况（2分）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资产管理与预算管理相结合（2分）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内控制度管理（2分）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内部控制度健全完整（2分）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信息公开（8分）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预算公开（3分）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决算公开（3分）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绩效信息公开（2分）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绩效评价（5分）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绩效评价开展（2分）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评价结果应用（3分）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部门绩效情况（45分）</w:t>
            </w: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履职成效（20分）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部门特性指标</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可持续发展能力（15分）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重点改革（重点工作）完成情况（5分）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科技（制度、方法、机制等）创新（5分）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人才培养（5分）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满意度（10分）</w:t>
            </w: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协作部门满意度（3分）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管理对象满意度（3分）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47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1890" w:type="dxa"/>
            <w:gridSpan w:val="2"/>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社会公众满意度（4分）</w:t>
            </w:r>
          </w:p>
        </w:tc>
        <w:tc>
          <w:tcPr>
            <w:tcW w:w="1698" w:type="dxa"/>
            <w:tcBorders>
              <w:top w:val="single" w:color="auto" w:sz="6" w:space="0"/>
              <w:left w:val="single" w:color="auto" w:sz="6" w:space="0"/>
              <w:bottom w:val="single" w:color="auto" w:sz="6" w:space="0"/>
              <w:right w:val="single" w:color="auto" w:sz="6" w:space="0"/>
            </w:tcBorders>
            <w:shd w:val="clear"/>
            <w:vAlign w:val="top"/>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c>
          <w:tcPr>
            <w:tcW w:w="517" w:type="dxa"/>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707" w:type="dxa"/>
            <w:tcBorders>
              <w:top w:val="nil"/>
              <w:left w:val="nil"/>
              <w:bottom w:val="nil"/>
              <w:right w:val="nil"/>
            </w:tcBorders>
            <w:shd w:val="clear"/>
            <w:vAlign w:val="center"/>
          </w:tcPr>
          <w:p>
            <w:pPr>
              <w:keepNext w:val="0"/>
              <w:keepLines w:val="0"/>
              <w:widowControl/>
              <w:suppressLineNumbers w:val="0"/>
              <w:spacing w:before="75" w:beforeAutospacing="0" w:after="75" w:afterAutospacing="0" w:line="23" w:lineRule="atLeast"/>
              <w:ind w:left="0" w:right="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spacing w:val="0"/>
                <w:kern w:val="0"/>
                <w:sz w:val="32"/>
                <w:szCs w:val="32"/>
                <w:lang w:val="en-US" w:eastAsia="zh-CN" w:bidi="ar"/>
              </w:rPr>
              <w:t> </w:t>
            </w:r>
          </w:p>
        </w:tc>
        <w:tc>
          <w:tcPr>
            <w:tcW w:w="1430" w:type="dxa"/>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总分</w:t>
            </w:r>
          </w:p>
        </w:tc>
        <w:tc>
          <w:tcPr>
            <w:tcW w:w="6196" w:type="dxa"/>
            <w:gridSpan w:val="4"/>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75" w:beforeAutospacing="0" w:after="75" w:afterAutospacing="0" w:line="23" w:lineRule="atLeast"/>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aps w:val="0"/>
                <w:color w:val="000000"/>
                <w:spacing w:val="0"/>
                <w:kern w:val="0"/>
                <w:sz w:val="32"/>
                <w:szCs w:val="32"/>
                <w:lang w:val="en-US" w:eastAsia="zh-CN" w:bidi="ar"/>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707" w:type="dxa"/>
            <w:tcBorders>
              <w:top w:val="nil"/>
              <w:left w:val="nil"/>
              <w:bottom w:val="nil"/>
              <w:right w:val="nil"/>
            </w:tcBorders>
            <w:shd w:val="clear"/>
            <w:vAlign w:val="center"/>
          </w:tcPr>
          <w:p>
            <w:pPr>
              <w:rPr>
                <w:rFonts w:hint="eastAsia" w:asciiTheme="minorEastAsia" w:hAnsiTheme="minorEastAsia" w:eastAsiaTheme="minorEastAsia" w:cstheme="minorEastAsia"/>
                <w:caps w:val="0"/>
                <w:spacing w:val="0"/>
                <w:sz w:val="32"/>
                <w:szCs w:val="32"/>
              </w:rPr>
            </w:pPr>
          </w:p>
        </w:tc>
        <w:tc>
          <w:tcPr>
            <w:tcW w:w="763" w:type="dxa"/>
            <w:tcBorders>
              <w:top w:val="nil"/>
              <w:left w:val="nil"/>
              <w:bottom w:val="nil"/>
              <w:right w:val="nil"/>
            </w:tcBorders>
            <w:shd w:val="clear"/>
            <w:vAlign w:val="center"/>
          </w:tcPr>
          <w:p>
            <w:pPr>
              <w:rPr>
                <w:rFonts w:hint="eastAsia" w:asciiTheme="minorEastAsia" w:hAnsiTheme="minorEastAsia" w:eastAsiaTheme="minorEastAsia" w:cstheme="minorEastAsia"/>
                <w:caps w:val="0"/>
                <w:spacing w:val="0"/>
                <w:sz w:val="32"/>
                <w:szCs w:val="32"/>
              </w:rPr>
            </w:pPr>
          </w:p>
        </w:tc>
        <w:tc>
          <w:tcPr>
            <w:tcW w:w="667" w:type="dxa"/>
            <w:tcBorders>
              <w:top w:val="nil"/>
              <w:left w:val="nil"/>
              <w:bottom w:val="nil"/>
              <w:right w:val="nil"/>
            </w:tcBorders>
            <w:shd w:val="clear"/>
            <w:vAlign w:val="center"/>
          </w:tcPr>
          <w:p>
            <w:pPr>
              <w:rPr>
                <w:rFonts w:hint="eastAsia" w:asciiTheme="minorEastAsia" w:hAnsiTheme="minorEastAsia" w:eastAsiaTheme="minorEastAsia" w:cstheme="minorEastAsia"/>
                <w:caps w:val="0"/>
                <w:spacing w:val="0"/>
                <w:sz w:val="32"/>
                <w:szCs w:val="32"/>
              </w:rPr>
            </w:pPr>
          </w:p>
        </w:tc>
        <w:tc>
          <w:tcPr>
            <w:tcW w:w="1223" w:type="dxa"/>
            <w:tcBorders>
              <w:top w:val="nil"/>
              <w:left w:val="nil"/>
              <w:bottom w:val="nil"/>
              <w:right w:val="nil"/>
            </w:tcBorders>
            <w:shd w:val="clear"/>
            <w:vAlign w:val="center"/>
          </w:tcPr>
          <w:p>
            <w:pPr>
              <w:rPr>
                <w:rFonts w:hint="eastAsia" w:asciiTheme="minorEastAsia" w:hAnsiTheme="minorEastAsia" w:eastAsiaTheme="minorEastAsia" w:cstheme="minorEastAsia"/>
                <w:caps w:val="0"/>
                <w:spacing w:val="0"/>
                <w:sz w:val="32"/>
                <w:szCs w:val="32"/>
              </w:rPr>
            </w:pPr>
          </w:p>
        </w:tc>
        <w:tc>
          <w:tcPr>
            <w:tcW w:w="2758" w:type="dxa"/>
            <w:tcBorders>
              <w:top w:val="nil"/>
              <w:left w:val="nil"/>
              <w:bottom w:val="nil"/>
              <w:right w:val="nil"/>
            </w:tcBorders>
            <w:shd w:val="clear"/>
            <w:vAlign w:val="center"/>
          </w:tcPr>
          <w:p>
            <w:pPr>
              <w:rPr>
                <w:rFonts w:hint="eastAsia" w:asciiTheme="minorEastAsia" w:hAnsiTheme="minorEastAsia" w:eastAsiaTheme="minorEastAsia" w:cstheme="minorEastAsia"/>
                <w:caps w:val="0"/>
                <w:spacing w:val="0"/>
                <w:sz w:val="32"/>
                <w:szCs w:val="32"/>
              </w:rPr>
            </w:pPr>
          </w:p>
        </w:tc>
        <w:tc>
          <w:tcPr>
            <w:tcW w:w="1698" w:type="dxa"/>
            <w:tcBorders>
              <w:top w:val="nil"/>
              <w:left w:val="nil"/>
              <w:bottom w:val="nil"/>
              <w:right w:val="nil"/>
            </w:tcBorders>
            <w:shd w:val="clear"/>
            <w:vAlign w:val="center"/>
          </w:tcPr>
          <w:p>
            <w:pPr>
              <w:rPr>
                <w:rFonts w:hint="eastAsia" w:asciiTheme="minorEastAsia" w:hAnsiTheme="minorEastAsia" w:eastAsiaTheme="minorEastAsia" w:cstheme="minorEastAsia"/>
                <w:caps w:val="0"/>
                <w:spacing w:val="0"/>
                <w:sz w:val="32"/>
                <w:szCs w:val="32"/>
              </w:rPr>
            </w:pPr>
          </w:p>
        </w:tc>
        <w:tc>
          <w:tcPr>
            <w:tcW w:w="517" w:type="dxa"/>
            <w:tcBorders>
              <w:top w:val="nil"/>
              <w:left w:val="nil"/>
              <w:bottom w:val="nil"/>
              <w:right w:val="nil"/>
            </w:tcBorders>
            <w:shd w:val="clear"/>
            <w:vAlign w:val="center"/>
          </w:tcPr>
          <w:p>
            <w:pPr>
              <w:rPr>
                <w:rFonts w:hint="eastAsia" w:asciiTheme="minorEastAsia" w:hAnsiTheme="minorEastAsia" w:eastAsiaTheme="minorEastAsia" w:cstheme="minorEastAsia"/>
                <w:caps w:val="0"/>
                <w:spacing w:val="0"/>
                <w:sz w:val="32"/>
                <w:szCs w:val="32"/>
              </w:rPr>
            </w:pPr>
          </w:p>
        </w:tc>
      </w:tr>
    </w:tbl>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 </w:t>
      </w:r>
    </w:p>
    <w:p>
      <w:pPr>
        <w:keepNext w:val="0"/>
        <w:keepLines w:val="0"/>
        <w:widowControl/>
        <w:suppressLineNumbers w:val="0"/>
        <w:spacing w:before="75" w:beforeAutospacing="0" w:after="75" w:afterAutospacing="0"/>
        <w:ind w:left="0" w:right="0" w:firstLine="640"/>
        <w:jc w:val="left"/>
        <w:rPr>
          <w:rFonts w:hint="eastAsia" w:ascii="宋体" w:hAnsi="宋体" w:eastAsia="宋体" w:cs="宋体"/>
          <w:b/>
          <w:bCs w:val="0"/>
          <w:i w:val="0"/>
          <w:caps w:val="0"/>
          <w:color w:val="000000"/>
          <w:spacing w:val="0"/>
          <w:kern w:val="0"/>
          <w:sz w:val="30"/>
          <w:szCs w:val="30"/>
          <w:lang w:val="en-US" w:eastAsia="zh-CN" w:bidi="ar"/>
        </w:rPr>
      </w:pPr>
      <w:r>
        <w:rPr>
          <w:rFonts w:hint="eastAsia" w:ascii="宋体" w:hAnsi="宋体" w:eastAsia="宋体" w:cs="宋体"/>
          <w:b/>
          <w:bCs w:val="0"/>
          <w:i w:val="0"/>
          <w:caps w:val="0"/>
          <w:color w:val="000000"/>
          <w:spacing w:val="0"/>
          <w:kern w:val="0"/>
          <w:sz w:val="30"/>
          <w:szCs w:val="30"/>
          <w:lang w:val="en-US" w:eastAsia="zh-CN" w:bidi="ar"/>
        </w:rPr>
        <w:t>十一、名词解释</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1.财政拨款收入：指县级财政当年拨付的资金。</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2.事业收入：指事业单位开展专业业务活动及辅助活动所取得的收入。</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3.经营收入：指事业单位在专业业务活动及其辅助活动之外开展非独立核算经营活动取得的收入。</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4.其他收入：指除上述“财政拨款收入”、“事业收入”、“经营收入”等以外的收入。</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5.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6.年初结转和结余：指以前年度尚未完成、结转到本年按有关规定继续使用的资金。</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7.商业服务业等支出-商业流通事务-行政运行支出：</w:t>
      </w:r>
      <w:r>
        <w:rPr>
          <w:rFonts w:hint="eastAsia" w:asciiTheme="minorEastAsia" w:hAnsiTheme="minorEastAsia" w:eastAsiaTheme="minorEastAsia" w:cstheme="minorEastAsia"/>
          <w:i w:val="0"/>
          <w:caps w:val="0"/>
          <w:color w:val="333333"/>
          <w:spacing w:val="0"/>
          <w:kern w:val="0"/>
          <w:sz w:val="32"/>
          <w:szCs w:val="32"/>
          <w:lang w:val="en-US" w:eastAsia="zh-CN" w:bidi="ar"/>
        </w:rPr>
        <w:t>指单位的基本支出。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8. 商业服务业等支出-商业流通事务-一般行政管理事务支出：</w:t>
      </w:r>
      <w:r>
        <w:rPr>
          <w:rFonts w:hint="eastAsia" w:asciiTheme="minorEastAsia" w:hAnsiTheme="minorEastAsia" w:eastAsiaTheme="minorEastAsia" w:cstheme="minorEastAsia"/>
          <w:i w:val="0"/>
          <w:caps w:val="0"/>
          <w:color w:val="333333"/>
          <w:spacing w:val="0"/>
          <w:kern w:val="0"/>
          <w:sz w:val="32"/>
          <w:szCs w:val="32"/>
          <w:lang w:val="en-US" w:eastAsia="zh-CN" w:bidi="ar"/>
        </w:rPr>
        <w:t>指单位未单独设置项级科目的其他项目支出。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9. 商业服务业等支出-商业流通事务-其他商业流通事务支出：</w:t>
      </w:r>
      <w:r>
        <w:rPr>
          <w:rFonts w:hint="eastAsia" w:asciiTheme="minorEastAsia" w:hAnsiTheme="minorEastAsia" w:eastAsiaTheme="minorEastAsia" w:cstheme="minorEastAsia"/>
          <w:i w:val="0"/>
          <w:caps w:val="0"/>
          <w:color w:val="333333"/>
          <w:spacing w:val="0"/>
          <w:kern w:val="0"/>
          <w:sz w:val="32"/>
          <w:szCs w:val="32"/>
          <w:lang w:val="en-US" w:eastAsia="zh-CN" w:bidi="ar"/>
        </w:rPr>
        <w:t>指单位其他用于</w:t>
      </w:r>
      <w:r>
        <w:rPr>
          <w:rFonts w:hint="eastAsia" w:asciiTheme="minorEastAsia" w:hAnsiTheme="minorEastAsia" w:eastAsiaTheme="minorEastAsia" w:cstheme="minorEastAsia"/>
          <w:i w:val="0"/>
          <w:caps w:val="0"/>
          <w:color w:val="000000"/>
          <w:spacing w:val="0"/>
          <w:kern w:val="0"/>
          <w:sz w:val="32"/>
          <w:szCs w:val="32"/>
          <w:lang w:val="en-US" w:eastAsia="zh-CN" w:bidi="ar"/>
        </w:rPr>
        <w:t>商业流通事务方面的支出。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10. 社会保障和就业-行政事业单位离退休-机关事业单位基本养老保险缴费：指单位职工养老保险缴费。</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11. 医疗卫生与计划生育-医疗保障-行政单位医疗：指单位职工医疗保险等支出。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12. 住房保障-住房改革-住房公积金：指单位职工住房公积金支出。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13.结余分配：指事业单位按规定提取的职工福利基金、事业基金和缴纳的所得税，以及建设单位按规定应交回的基本建设竣工项目结余资金。</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14.年末结转和结余：指本年度或以前年度预算安排、因客观条件发生变化无法按原计划实施，需延迟到以后年度按有关规定继续使用的资金。</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15.基本支出：指为保障机构正常运转、完成日常工作任务而发生的人员支出和公用支出。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16.项目支出：指在基本支出之外为完成特定行政任务和事业发展目标所发生的支出。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17.经营支出：指事业单位在专业业务活动及其辅助活动之外开展非独立核算经营活动发生的支出。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18.“三公”经费：纳入县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333333"/>
          <w:spacing w:val="0"/>
          <w:kern w:val="0"/>
          <w:sz w:val="32"/>
          <w:szCs w:val="32"/>
          <w:lang w:val="en-US" w:eastAsia="zh-CN" w:bidi="ar"/>
        </w:rPr>
        <w:t>19.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keepNext w:val="0"/>
        <w:keepLines w:val="0"/>
        <w:widowControl/>
        <w:suppressLineNumbers w:val="0"/>
        <w:spacing w:before="75" w:beforeAutospacing="0" w:after="75" w:afterAutospacing="0"/>
        <w:ind w:left="0" w:right="0" w:firstLine="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b/>
          <w:i w:val="0"/>
          <w:caps w:val="0"/>
          <w:color w:val="000000"/>
          <w:spacing w:val="0"/>
          <w:kern w:val="0"/>
          <w:sz w:val="32"/>
          <w:szCs w:val="32"/>
          <w:lang w:val="en-US" w:eastAsia="zh-CN" w:bidi="ar"/>
        </w:rPr>
        <w:t>                   </w:t>
      </w:r>
    </w:p>
    <w:p>
      <w:pPr>
        <w:keepNext w:val="0"/>
        <w:keepLines w:val="0"/>
        <w:widowControl/>
        <w:suppressLineNumbers w:val="0"/>
        <w:spacing w:before="75" w:beforeAutospacing="0" w:after="75" w:afterAutospacing="0"/>
        <w:ind w:left="0" w:right="0" w:firstLine="602"/>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b/>
          <w:i w:val="0"/>
          <w:caps w:val="0"/>
          <w:color w:val="000000"/>
          <w:spacing w:val="0"/>
          <w:kern w:val="0"/>
          <w:sz w:val="32"/>
          <w:szCs w:val="32"/>
          <w:lang w:val="en-US" w:eastAsia="zh-CN" w:bidi="ar"/>
        </w:rPr>
        <w:t>             </w:t>
      </w:r>
      <w:r>
        <w:rPr>
          <w:rFonts w:hint="eastAsia" w:asciiTheme="minorEastAsia" w:hAnsiTheme="minorEastAsia" w:eastAsiaTheme="minorEastAsia" w:cstheme="minorEastAsia"/>
          <w:i w:val="0"/>
          <w:caps w:val="0"/>
          <w:color w:val="000000"/>
          <w:spacing w:val="0"/>
          <w:kern w:val="0"/>
          <w:sz w:val="32"/>
          <w:szCs w:val="32"/>
          <w:lang w:val="en-US" w:eastAsia="zh-CN" w:bidi="ar"/>
        </w:rPr>
        <w:t>苍溪县供销合作社联合社</w:t>
      </w:r>
    </w:p>
    <w:p>
      <w:pPr>
        <w:keepNext w:val="0"/>
        <w:keepLines w:val="0"/>
        <w:widowControl/>
        <w:suppressLineNumbers w:val="0"/>
        <w:spacing w:before="75" w:beforeAutospacing="0" w:after="75" w:afterAutospacing="0"/>
        <w:ind w:left="0" w:right="0" w:firstLine="600"/>
        <w:jc w:val="left"/>
        <w:rPr>
          <w:rFonts w:hint="eastAsia" w:asciiTheme="minorEastAsia" w:hAnsiTheme="minorEastAsia" w:eastAsiaTheme="minorEastAsia" w:cstheme="minorEastAsia"/>
          <w:i w:val="0"/>
          <w:caps w:val="0"/>
          <w:color w:val="333333"/>
          <w:spacing w:val="0"/>
          <w:sz w:val="32"/>
          <w:szCs w:val="32"/>
        </w:rPr>
      </w:pPr>
      <w:r>
        <w:rPr>
          <w:rFonts w:hint="eastAsia" w:asciiTheme="minorEastAsia" w:hAnsiTheme="minorEastAsia" w:eastAsiaTheme="minorEastAsia" w:cstheme="minorEastAsia"/>
          <w:i w:val="0"/>
          <w:caps w:val="0"/>
          <w:color w:val="000000"/>
          <w:spacing w:val="0"/>
          <w:kern w:val="0"/>
          <w:sz w:val="32"/>
          <w:szCs w:val="32"/>
          <w:lang w:val="en-US" w:eastAsia="zh-CN" w:bidi="ar"/>
        </w:rPr>
        <w:t xml:space="preserve">            </w:t>
      </w:r>
      <w:r>
        <w:rPr>
          <w:rFonts w:hint="eastAsia" w:asciiTheme="minorEastAsia" w:hAnsiTheme="minorEastAsia" w:cstheme="minorEastAsia"/>
          <w:i w:val="0"/>
          <w:caps w:val="0"/>
          <w:color w:val="000000"/>
          <w:spacing w:val="0"/>
          <w:kern w:val="0"/>
          <w:sz w:val="32"/>
          <w:szCs w:val="32"/>
          <w:lang w:val="en-US" w:eastAsia="zh-CN" w:bidi="ar"/>
        </w:rPr>
        <w:t xml:space="preserve"> </w:t>
      </w:r>
      <w:r>
        <w:rPr>
          <w:rFonts w:hint="eastAsia" w:asciiTheme="minorEastAsia" w:hAnsiTheme="minorEastAsia" w:eastAsiaTheme="minorEastAsia" w:cstheme="minorEastAsia"/>
          <w:i w:val="0"/>
          <w:caps w:val="0"/>
          <w:color w:val="000000"/>
          <w:spacing w:val="0"/>
          <w:kern w:val="0"/>
          <w:sz w:val="32"/>
          <w:szCs w:val="32"/>
          <w:lang w:val="en-US" w:eastAsia="zh-CN" w:bidi="ar"/>
        </w:rPr>
        <w:t> 2018年 8 月 23 日</w:t>
      </w:r>
    </w:p>
    <w:p>
      <w:pPr>
        <w:rPr>
          <w:rFonts w:hint="eastAsia" w:asciiTheme="minorEastAsia" w:hAnsiTheme="minorEastAsia" w:eastAsiaTheme="minorEastAsia" w:cstheme="minor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752FD1"/>
    <w:rsid w:val="6D535020"/>
    <w:rsid w:val="78752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rPr>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2018-08-29T07:01:00Z</dcterms:created>
  <dc:creator>死地后生</dc:creator>
  <cp:lastModifiedBy>死地后生</cp:lastModifiedBy>
  <dcterms:modified xsi:type="dcterms:W3CDTF">2018-08-29T07:08:52Z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