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Theme="majorEastAsia" w:hAnsiTheme="majorEastAsia" w:eastAsiaTheme="majorEastAsia" w:cstheme="majorEastAsia"/>
          <w:b/>
          <w:bCs/>
          <w:color w:val="000000"/>
          <w:sz w:val="48"/>
          <w:szCs w:val="48"/>
        </w:rPr>
      </w:pPr>
      <w:bookmarkStart w:id="0" w:name="YS060100"/>
      <w:r>
        <w:rPr>
          <w:rFonts w:hint="eastAsia" w:ascii="宋体" w:hAnsi="宋体" w:cs="宋体"/>
          <w:sz w:val="48"/>
          <w:szCs w:val="48"/>
          <w:lang w:val="en-US" w:eastAsia="zh-CN"/>
        </w:rPr>
        <w:t xml:space="preserve"> </w:t>
      </w:r>
      <w:bookmarkEnd w:id="0"/>
      <w:bookmarkStart w:id="1" w:name="YS060102"/>
      <w:r>
        <w:rPr>
          <w:rFonts w:hint="eastAsia" w:asciiTheme="majorEastAsia" w:hAnsiTheme="majorEastAsia" w:eastAsiaTheme="majorEastAsia" w:cstheme="majorEastAsia"/>
          <w:b/>
          <w:bCs/>
          <w:color w:val="000000"/>
          <w:sz w:val="48"/>
          <w:szCs w:val="48"/>
        </w:rPr>
        <w:t>苍溪县</w:t>
      </w:r>
      <w:r>
        <w:rPr>
          <w:rFonts w:hint="eastAsia" w:asciiTheme="majorEastAsia" w:hAnsiTheme="majorEastAsia" w:eastAsiaTheme="majorEastAsia" w:cstheme="majorEastAsia"/>
          <w:b/>
          <w:bCs/>
          <w:color w:val="000000"/>
          <w:sz w:val="48"/>
          <w:szCs w:val="48"/>
          <w:lang w:val="en-US" w:eastAsia="zh-CN"/>
        </w:rPr>
        <w:t>陵江第一幼儿园</w:t>
      </w:r>
    </w:p>
    <w:p>
      <w:pPr>
        <w:spacing w:line="600" w:lineRule="exact"/>
        <w:jc w:val="center"/>
        <w:rPr>
          <w:rFonts w:hint="eastAsia" w:asciiTheme="majorEastAsia" w:hAnsiTheme="majorEastAsia" w:eastAsiaTheme="majorEastAsia" w:cstheme="majorEastAsia"/>
          <w:b/>
          <w:bCs/>
          <w:color w:val="000000"/>
          <w:sz w:val="48"/>
          <w:szCs w:val="48"/>
        </w:rPr>
      </w:pPr>
      <w:r>
        <w:rPr>
          <w:rFonts w:hint="eastAsia" w:asciiTheme="majorEastAsia" w:hAnsiTheme="majorEastAsia" w:eastAsiaTheme="majorEastAsia" w:cstheme="majorEastAsia"/>
          <w:b/>
          <w:bCs/>
          <w:color w:val="000000"/>
          <w:sz w:val="48"/>
          <w:szCs w:val="48"/>
        </w:rPr>
        <w:t>2017年部门决算编制说明</w:t>
      </w:r>
    </w:p>
    <w:p>
      <w:pPr>
        <w:rPr>
          <w:rFonts w:hint="eastAsia" w:asciiTheme="minorEastAsia" w:hAnsiTheme="minorEastAsia" w:eastAsiaTheme="minorEastAsia" w:cstheme="minorEastAsia"/>
          <w:b/>
          <w:bCs/>
          <w:sz w:val="30"/>
          <w:szCs w:val="30"/>
        </w:rPr>
      </w:pPr>
    </w:p>
    <w:p>
      <w:pPr>
        <w:numPr>
          <w:ilvl w:val="0"/>
          <w:numId w:val="1"/>
        </w:numPr>
        <w:spacing w:line="600" w:lineRule="exact"/>
        <w:ind w:firstLine="640" w:firstLineChars="200"/>
        <w:rPr>
          <w:rFonts w:hint="eastAsia" w:ascii="黑体" w:eastAsia="黑体"/>
          <w:color w:val="000000"/>
          <w:sz w:val="32"/>
          <w:szCs w:val="32"/>
        </w:rPr>
      </w:pPr>
      <w:r>
        <w:rPr>
          <w:rFonts w:hint="eastAsia" w:ascii="黑体" w:eastAsia="黑体"/>
          <w:color w:val="000000"/>
          <w:sz w:val="32"/>
          <w:szCs w:val="32"/>
        </w:rPr>
        <w:t>基本职能及主要工作</w:t>
      </w:r>
    </w:p>
    <w:p>
      <w:pPr>
        <w:pStyle w:val="2"/>
        <w:adjustRightInd w:val="0"/>
        <w:snapToGrid w:val="0"/>
        <w:spacing w:line="600" w:lineRule="exact"/>
        <w:ind w:firstLine="672" w:firstLineChars="210"/>
        <w:rPr>
          <w:rFonts w:hint="eastAsia" w:ascii="仿宋" w:hAnsi="仿宋" w:eastAsia="仿宋" w:cs="仿宋"/>
          <w:bCs/>
          <w:color w:val="000000"/>
          <w:sz w:val="32"/>
          <w:szCs w:val="32"/>
        </w:rPr>
      </w:pPr>
      <w:r>
        <w:rPr>
          <w:rFonts w:hint="eastAsia"/>
          <w:bCs/>
          <w:color w:val="000000"/>
          <w:sz w:val="32"/>
          <w:szCs w:val="32"/>
        </w:rPr>
        <w:t>（一）</w:t>
      </w:r>
      <w:r>
        <w:rPr>
          <w:rFonts w:hint="eastAsia" w:ascii="仿宋" w:hAnsi="仿宋" w:eastAsia="仿宋" w:cs="仿宋"/>
          <w:bCs/>
          <w:color w:val="000000"/>
          <w:sz w:val="32"/>
          <w:szCs w:val="32"/>
        </w:rPr>
        <w:t>主要职能</w:t>
      </w:r>
    </w:p>
    <w:p>
      <w:pPr>
        <w:ind w:firstLine="600" w:firstLineChars="200"/>
        <w:rPr>
          <w:rFonts w:hint="eastAsia" w:ascii="仿宋" w:hAnsi="仿宋" w:eastAsia="仿宋" w:cs="仿宋"/>
          <w:sz w:val="30"/>
          <w:szCs w:val="30"/>
        </w:rPr>
      </w:pPr>
      <w:r>
        <w:rPr>
          <w:rFonts w:hint="eastAsia" w:ascii="仿宋" w:hAnsi="仿宋" w:eastAsia="仿宋" w:cs="仿宋"/>
          <w:sz w:val="30"/>
          <w:szCs w:val="30"/>
        </w:rPr>
        <w:t>1、幼儿园的任务：实行保育和教育相结合的原则，对幼儿实施体、智、德、美诸方面全面发展的教育，促进其身心和谐发展，为家长工作，学习提供便利条件，通过组织、指挥、协调、控制等管理职能，合理使用幼儿园建设与事业发展的各种资源，确保保教育质量的提高，较好地实现预期的教育培养目标和服务部队、服务家长的任务。</w:t>
      </w:r>
    </w:p>
    <w:p>
      <w:pPr>
        <w:ind w:firstLine="600" w:firstLineChars="200"/>
        <w:rPr>
          <w:rFonts w:hint="eastAsia" w:ascii="仿宋" w:hAnsi="仿宋" w:eastAsia="仿宋" w:cs="仿宋"/>
          <w:sz w:val="30"/>
          <w:szCs w:val="30"/>
        </w:rPr>
      </w:pPr>
      <w:r>
        <w:rPr>
          <w:rFonts w:hint="eastAsia" w:ascii="仿宋" w:hAnsi="仿宋" w:eastAsia="仿宋" w:cs="仿宋"/>
          <w:sz w:val="30"/>
          <w:szCs w:val="30"/>
        </w:rPr>
        <w:t>2、幼儿园的职能：幼儿园管理人员和有关幼教行政人员遵照一定的教育方针和保教工作的客观规律，采用科学的工作方法，和管理手段将人、财、物等各因素合理组织起来，调动各方面的积极性，优质高效的实现国家所规定的培养目标和幼儿园工作任务，所进行的各种一般职能活动。</w:t>
      </w:r>
    </w:p>
    <w:p>
      <w:pPr>
        <w:spacing w:line="460" w:lineRule="exact"/>
        <w:ind w:firstLine="652" w:firstLineChars="204"/>
        <w:rPr>
          <w:rFonts w:hint="eastAsia"/>
          <w:bCs/>
          <w:color w:val="000000"/>
          <w:sz w:val="32"/>
          <w:szCs w:val="32"/>
        </w:rPr>
      </w:pPr>
      <w:r>
        <w:rPr>
          <w:rFonts w:hint="eastAsia"/>
          <w:bCs/>
          <w:color w:val="000000"/>
          <w:sz w:val="32"/>
          <w:szCs w:val="32"/>
        </w:rPr>
        <w:t>（二）201</w:t>
      </w:r>
      <w:r>
        <w:rPr>
          <w:rFonts w:hint="eastAsia"/>
          <w:bCs/>
          <w:color w:val="000000"/>
          <w:sz w:val="32"/>
          <w:szCs w:val="32"/>
          <w:lang w:eastAsia="zh-CN"/>
        </w:rPr>
        <w:t>7</w:t>
      </w:r>
      <w:r>
        <w:rPr>
          <w:rFonts w:hint="eastAsia"/>
          <w:bCs/>
          <w:color w:val="000000"/>
          <w:sz w:val="32"/>
          <w:szCs w:val="32"/>
        </w:rPr>
        <w:t>年重点工作完成情况。</w:t>
      </w:r>
    </w:p>
    <w:p>
      <w:pPr>
        <w:keepNext w:val="0"/>
        <w:keepLines w:val="0"/>
        <w:pageBreakBefore w:val="0"/>
        <w:widowControl w:val="0"/>
        <w:kinsoku/>
        <w:wordWrap/>
        <w:overflowPunct/>
        <w:topLinePunct w:val="0"/>
        <w:autoSpaceDE/>
        <w:autoSpaceDN/>
        <w:bidi w:val="0"/>
        <w:adjustRightInd/>
        <w:snapToGrid/>
        <w:spacing w:line="520" w:lineRule="exact"/>
        <w:ind w:firstLine="612" w:firstLineChars="204"/>
        <w:textAlignment w:val="auto"/>
        <w:outlineLvl w:val="9"/>
        <w:rPr>
          <w:rFonts w:hint="eastAsia" w:ascii="仿宋" w:hAnsi="仿宋" w:eastAsia="仿宋" w:cs="仿宋"/>
          <w:kern w:val="0"/>
          <w:sz w:val="30"/>
          <w:szCs w:val="30"/>
        </w:rPr>
      </w:pPr>
      <w:r>
        <w:rPr>
          <w:rFonts w:hint="eastAsia" w:ascii="仿宋" w:hAnsi="仿宋" w:eastAsia="仿宋" w:cs="仿宋"/>
          <w:sz w:val="30"/>
          <w:szCs w:val="30"/>
        </w:rPr>
        <w:t>苍溪县陵江第一幼儿园</w:t>
      </w:r>
      <w:r>
        <w:rPr>
          <w:rFonts w:hint="eastAsia" w:ascii="仿宋" w:hAnsi="仿宋" w:eastAsia="仿宋" w:cs="仿宋"/>
          <w:color w:val="000000"/>
          <w:sz w:val="30"/>
          <w:szCs w:val="30"/>
        </w:rPr>
        <w:t>在上级正确领导下，在教育行政主管部门的指导下，</w:t>
      </w:r>
      <w:r>
        <w:rPr>
          <w:rFonts w:hint="eastAsia" w:ascii="仿宋" w:hAnsi="仿宋" w:eastAsia="仿宋" w:cs="仿宋"/>
          <w:kern w:val="0"/>
          <w:sz w:val="30"/>
          <w:szCs w:val="30"/>
        </w:rPr>
        <w:t>全面贯彻落实国家中长期教育改革与发展规划纲要，加快推进学前教育普及化，学校办学质量和办学效益显著提升。具体工作有： </w:t>
      </w:r>
    </w:p>
    <w:p>
      <w:pPr>
        <w:pStyle w:val="2"/>
        <w:numPr>
          <w:ilvl w:val="0"/>
          <w:numId w:val="2"/>
        </w:numPr>
        <w:adjustRightInd w:val="0"/>
        <w:snapToGrid w:val="0"/>
        <w:spacing w:beforeLines="0" w:line="460" w:lineRule="exact"/>
        <w:ind w:firstLine="630" w:firstLineChars="210"/>
        <w:rPr>
          <w:rFonts w:hint="eastAsia" w:ascii="仿宋" w:hAnsi="仿宋" w:eastAsia="仿宋" w:cs="仿宋"/>
          <w:bCs/>
          <w:color w:val="000000"/>
          <w:sz w:val="30"/>
          <w:szCs w:val="30"/>
        </w:rPr>
      </w:pPr>
      <w:r>
        <w:rPr>
          <w:rFonts w:hint="eastAsia" w:ascii="仿宋" w:hAnsi="仿宋" w:eastAsia="仿宋" w:cs="仿宋"/>
          <w:bCs/>
          <w:color w:val="000000"/>
          <w:sz w:val="30"/>
          <w:szCs w:val="30"/>
        </w:rPr>
        <w:t>加强了学校队伍组织建设，建设了一支素质过硬的教师队伍；</w:t>
      </w:r>
    </w:p>
    <w:p>
      <w:pPr>
        <w:pStyle w:val="2"/>
        <w:numPr>
          <w:ilvl w:val="0"/>
          <w:numId w:val="2"/>
        </w:numPr>
        <w:adjustRightInd w:val="0"/>
        <w:snapToGrid w:val="0"/>
        <w:spacing w:beforeLines="0" w:line="460" w:lineRule="exact"/>
        <w:ind w:firstLine="630" w:firstLineChars="210"/>
        <w:rPr>
          <w:rFonts w:hint="eastAsia" w:ascii="仿宋" w:hAnsi="仿宋" w:eastAsia="仿宋" w:cs="仿宋"/>
          <w:bCs/>
          <w:color w:val="000000"/>
          <w:sz w:val="30"/>
          <w:szCs w:val="30"/>
        </w:rPr>
      </w:pPr>
      <w:r>
        <w:rPr>
          <w:rFonts w:hint="eastAsia" w:ascii="仿宋" w:hAnsi="仿宋" w:eastAsia="仿宋" w:cs="仿宋"/>
          <w:bCs/>
          <w:color w:val="000000"/>
          <w:sz w:val="30"/>
          <w:szCs w:val="30"/>
        </w:rPr>
        <w:t>加强党风廉政建设，培训一支纯洁的教师队伍；</w:t>
      </w:r>
    </w:p>
    <w:p>
      <w:pPr>
        <w:pStyle w:val="2"/>
        <w:numPr>
          <w:ilvl w:val="0"/>
          <w:numId w:val="2"/>
        </w:numPr>
        <w:adjustRightInd w:val="0"/>
        <w:snapToGrid w:val="0"/>
        <w:spacing w:beforeLines="0" w:line="460" w:lineRule="exact"/>
        <w:ind w:firstLine="630" w:firstLineChars="210"/>
        <w:rPr>
          <w:rFonts w:hint="eastAsia" w:ascii="仿宋" w:hAnsi="仿宋" w:eastAsia="仿宋" w:cs="仿宋"/>
          <w:bCs/>
          <w:color w:val="000000"/>
          <w:sz w:val="30"/>
          <w:szCs w:val="30"/>
        </w:rPr>
      </w:pPr>
      <w:r>
        <w:rPr>
          <w:rFonts w:hint="eastAsia" w:ascii="仿宋" w:hAnsi="仿宋" w:eastAsia="仿宋" w:cs="仿宋"/>
          <w:bCs/>
          <w:color w:val="000000"/>
          <w:sz w:val="30"/>
          <w:szCs w:val="30"/>
        </w:rPr>
        <w:t>狠抓教育教学质量，提升了学校教育教学水平；</w:t>
      </w:r>
    </w:p>
    <w:p>
      <w:pPr>
        <w:pStyle w:val="2"/>
        <w:numPr>
          <w:ilvl w:val="0"/>
          <w:numId w:val="2"/>
        </w:numPr>
        <w:adjustRightInd w:val="0"/>
        <w:snapToGrid w:val="0"/>
        <w:spacing w:beforeLines="0" w:line="460" w:lineRule="exact"/>
        <w:ind w:firstLine="630" w:firstLineChars="210"/>
        <w:rPr>
          <w:rFonts w:hint="eastAsia" w:ascii="仿宋" w:hAnsi="仿宋" w:eastAsia="仿宋" w:cs="仿宋"/>
          <w:bCs/>
          <w:color w:val="000000"/>
          <w:sz w:val="30"/>
          <w:szCs w:val="30"/>
        </w:rPr>
      </w:pPr>
      <w:r>
        <w:rPr>
          <w:rFonts w:hint="eastAsia" w:ascii="仿宋" w:hAnsi="仿宋" w:eastAsia="仿宋" w:cs="仿宋"/>
          <w:bCs/>
          <w:color w:val="000000"/>
          <w:sz w:val="30"/>
          <w:szCs w:val="30"/>
        </w:rPr>
        <w:t>扎实开展扶贫工作，使各项惠民政策落到了实处；</w:t>
      </w:r>
    </w:p>
    <w:p>
      <w:pPr>
        <w:pStyle w:val="2"/>
        <w:numPr>
          <w:ilvl w:val="0"/>
          <w:numId w:val="2"/>
        </w:numPr>
        <w:adjustRightInd w:val="0"/>
        <w:snapToGrid w:val="0"/>
        <w:spacing w:beforeLines="0" w:line="460" w:lineRule="exact"/>
        <w:ind w:firstLine="630" w:firstLineChars="210"/>
        <w:rPr>
          <w:rFonts w:hint="eastAsia" w:ascii="仿宋" w:hAnsi="仿宋" w:eastAsia="仿宋" w:cs="仿宋"/>
          <w:bCs/>
          <w:color w:val="000000"/>
          <w:sz w:val="30"/>
          <w:szCs w:val="30"/>
        </w:rPr>
      </w:pPr>
      <w:r>
        <w:rPr>
          <w:rFonts w:hint="eastAsia" w:ascii="仿宋" w:hAnsi="仿宋" w:eastAsia="仿宋" w:cs="仿宋"/>
          <w:bCs/>
          <w:color w:val="000000"/>
          <w:sz w:val="30"/>
          <w:szCs w:val="30"/>
        </w:rPr>
        <w:t>积极开展教师培训，提高了教师综合业务质量；</w:t>
      </w:r>
    </w:p>
    <w:p>
      <w:pPr>
        <w:pStyle w:val="2"/>
        <w:numPr>
          <w:ilvl w:val="0"/>
          <w:numId w:val="2"/>
        </w:numPr>
        <w:adjustRightInd w:val="0"/>
        <w:snapToGrid w:val="0"/>
        <w:spacing w:beforeLines="0" w:line="460" w:lineRule="exact"/>
        <w:ind w:firstLine="630" w:firstLineChars="210"/>
        <w:rPr>
          <w:rFonts w:hint="eastAsia" w:ascii="仿宋" w:hAnsi="仿宋" w:eastAsia="仿宋" w:cs="仿宋"/>
          <w:bCs/>
          <w:color w:val="000000"/>
          <w:sz w:val="30"/>
          <w:szCs w:val="30"/>
        </w:rPr>
      </w:pPr>
      <w:r>
        <w:rPr>
          <w:rFonts w:hint="eastAsia" w:ascii="仿宋" w:hAnsi="仿宋" w:eastAsia="仿宋" w:cs="仿宋"/>
          <w:bCs/>
          <w:color w:val="000000"/>
          <w:sz w:val="30"/>
          <w:szCs w:val="30"/>
        </w:rPr>
        <w:t>经费管理。严格执行收费制度，财务公开制度，及时公示，规范的教育经费管理，确保资金使用规范、安全、有效、透明，坚决杜绝挤占、截留、挪用教育经费。</w:t>
      </w:r>
    </w:p>
    <w:p>
      <w:pPr>
        <w:pStyle w:val="2"/>
        <w:numPr>
          <w:ilvl w:val="0"/>
          <w:numId w:val="2"/>
        </w:numPr>
        <w:adjustRightInd w:val="0"/>
        <w:snapToGrid w:val="0"/>
        <w:spacing w:beforeLines="0" w:line="460" w:lineRule="exact"/>
        <w:ind w:firstLine="630" w:firstLineChars="210"/>
        <w:rPr>
          <w:rFonts w:hint="eastAsia" w:ascii="仿宋" w:hAnsi="仿宋" w:eastAsia="仿宋" w:cs="仿宋"/>
          <w:bCs/>
          <w:color w:val="000000"/>
          <w:sz w:val="30"/>
          <w:szCs w:val="30"/>
        </w:rPr>
      </w:pPr>
      <w:r>
        <w:rPr>
          <w:rFonts w:hint="eastAsia" w:ascii="仿宋" w:hAnsi="仿宋" w:eastAsia="仿宋" w:cs="仿宋"/>
          <w:bCs/>
          <w:color w:val="000000"/>
          <w:sz w:val="30"/>
          <w:szCs w:val="30"/>
        </w:rPr>
        <w:t>改善办学条件。积极争取各级资金，多渠道加大教学投入，加大基础设施建设，积极改善学校办学条件。</w:t>
      </w:r>
    </w:p>
    <w:p>
      <w:pPr>
        <w:pStyle w:val="2"/>
        <w:numPr>
          <w:ilvl w:val="0"/>
          <w:numId w:val="2"/>
        </w:numPr>
        <w:adjustRightInd w:val="0"/>
        <w:snapToGrid w:val="0"/>
        <w:spacing w:beforeLines="0" w:line="460" w:lineRule="exact"/>
        <w:ind w:firstLine="630" w:firstLineChars="210"/>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 安全工作、稳定工作、教育宣传工作、法制教育工作常抓不懈。</w:t>
      </w:r>
    </w:p>
    <w:p>
      <w:pPr>
        <w:spacing w:line="600" w:lineRule="exact"/>
        <w:ind w:firstLine="602" w:firstLineChars="200"/>
        <w:rPr>
          <w:rFonts w:hint="eastAsia" w:ascii="黑体" w:hAnsi="黑体" w:eastAsia="黑体" w:cs="黑体"/>
          <w:b/>
          <w:bCs/>
          <w:color w:val="000000"/>
          <w:sz w:val="30"/>
          <w:szCs w:val="30"/>
        </w:rPr>
      </w:pPr>
      <w:r>
        <w:rPr>
          <w:rFonts w:hint="eastAsia" w:ascii="黑体" w:hAnsi="黑体" w:eastAsia="黑体" w:cs="黑体"/>
          <w:b/>
          <w:bCs/>
          <w:color w:val="000000"/>
          <w:sz w:val="30"/>
          <w:szCs w:val="30"/>
          <w:lang w:val="en-US" w:eastAsia="zh-CN"/>
        </w:rPr>
        <w:t>二</w:t>
      </w:r>
      <w:r>
        <w:rPr>
          <w:rFonts w:hint="eastAsia" w:ascii="黑体" w:hAnsi="黑体" w:eastAsia="黑体" w:cs="黑体"/>
          <w:b/>
          <w:bCs/>
          <w:color w:val="000000"/>
          <w:sz w:val="30"/>
          <w:szCs w:val="30"/>
        </w:rPr>
        <w:t>、部门概况</w:t>
      </w:r>
    </w:p>
    <w:p>
      <w:pPr>
        <w:ind w:firstLine="600" w:firstLineChars="200"/>
        <w:rPr>
          <w:rFonts w:hint="eastAsia" w:ascii="仿宋" w:hAnsi="仿宋" w:eastAsia="仿宋" w:cs="仿宋"/>
          <w:sz w:val="32"/>
          <w:szCs w:val="32"/>
        </w:rPr>
      </w:pPr>
      <w:r>
        <w:rPr>
          <w:rFonts w:hint="eastAsia" w:ascii="仿宋" w:hAnsi="仿宋" w:eastAsia="仿宋" w:cs="仿宋"/>
          <w:color w:val="000000"/>
          <w:sz w:val="30"/>
          <w:szCs w:val="30"/>
          <w:lang w:eastAsia="zh-CN"/>
        </w:rPr>
        <w:t>苍溪县陵江第</w:t>
      </w:r>
      <w:r>
        <w:rPr>
          <w:rFonts w:hint="eastAsia" w:ascii="仿宋" w:hAnsi="仿宋" w:eastAsia="仿宋" w:cs="仿宋"/>
          <w:color w:val="000000"/>
          <w:sz w:val="30"/>
          <w:szCs w:val="30"/>
          <w:lang w:val="en-US" w:eastAsia="zh-CN"/>
        </w:rPr>
        <w:t>一</w:t>
      </w:r>
      <w:r>
        <w:rPr>
          <w:rFonts w:hint="eastAsia" w:ascii="仿宋" w:hAnsi="仿宋" w:eastAsia="仿宋" w:cs="仿宋"/>
          <w:color w:val="000000"/>
          <w:sz w:val="30"/>
          <w:szCs w:val="30"/>
          <w:lang w:eastAsia="zh-CN"/>
        </w:rPr>
        <w:t>幼儿园</w:t>
      </w:r>
      <w:r>
        <w:rPr>
          <w:rFonts w:hint="eastAsia" w:ascii="仿宋" w:hAnsi="仿宋" w:eastAsia="仿宋" w:cs="仿宋"/>
          <w:sz w:val="32"/>
          <w:szCs w:val="32"/>
        </w:rPr>
        <w:t>（以下简称“本部门”）</w:t>
      </w:r>
      <w:r>
        <w:rPr>
          <w:rFonts w:hint="eastAsia" w:ascii="仿宋" w:hAnsi="仿宋" w:eastAsia="仿宋" w:cs="仿宋"/>
          <w:color w:val="000000"/>
          <w:sz w:val="30"/>
          <w:szCs w:val="30"/>
          <w:lang w:eastAsia="zh-CN"/>
        </w:rPr>
        <w:t>是一级预算单位，</w:t>
      </w:r>
      <w:r>
        <w:rPr>
          <w:rFonts w:hint="eastAsia" w:ascii="仿宋" w:hAnsi="仿宋" w:eastAsia="仿宋" w:cs="仿宋"/>
          <w:sz w:val="32"/>
          <w:szCs w:val="32"/>
        </w:rPr>
        <w:t>下属二级单位0个，其中行政单位0个，参照公务员法管理的事业单位0个，其他事业单位0个。</w:t>
      </w:r>
    </w:p>
    <w:bookmarkEnd w:id="1"/>
    <w:p>
      <w:pPr>
        <w:spacing w:line="600" w:lineRule="exact"/>
        <w:ind w:firstLine="602" w:firstLineChars="200"/>
        <w:rPr>
          <w:rFonts w:hint="eastAsia" w:ascii="黑体" w:hAnsi="黑体" w:eastAsia="黑体" w:cs="黑体"/>
          <w:b/>
          <w:bCs/>
          <w:color w:val="000000"/>
          <w:sz w:val="30"/>
          <w:szCs w:val="30"/>
        </w:rPr>
      </w:pPr>
      <w:bookmarkStart w:id="2" w:name="YS060103"/>
      <w:r>
        <w:rPr>
          <w:rFonts w:hint="eastAsia" w:ascii="黑体" w:hAnsi="黑体" w:eastAsia="黑体" w:cs="黑体"/>
          <w:b/>
          <w:bCs/>
          <w:color w:val="000000"/>
          <w:sz w:val="30"/>
          <w:szCs w:val="30"/>
          <w:lang w:val="en-US" w:eastAsia="zh-CN"/>
        </w:rPr>
        <w:t>三</w:t>
      </w:r>
      <w:r>
        <w:rPr>
          <w:rFonts w:hint="eastAsia" w:ascii="黑体" w:hAnsi="黑体" w:eastAsia="黑体" w:cs="黑体"/>
          <w:b/>
          <w:bCs/>
          <w:color w:val="000000"/>
          <w:sz w:val="30"/>
          <w:szCs w:val="30"/>
        </w:rPr>
        <w:t>、收支决算总体情况说明</w:t>
      </w:r>
    </w:p>
    <w:p>
      <w:pPr>
        <w:spacing w:line="600" w:lineRule="exact"/>
        <w:ind w:firstLine="600" w:firstLineChars="200"/>
        <w:rPr>
          <w:rFonts w:hint="eastAsia" w:ascii="仿宋" w:hAnsi="仿宋" w:eastAsia="仿宋" w:cs="仿宋"/>
          <w:color w:val="auto"/>
          <w:sz w:val="30"/>
          <w:szCs w:val="30"/>
          <w:shd w:val="clear" w:color="auto" w:fill="auto"/>
        </w:rPr>
      </w:pPr>
      <w:r>
        <w:rPr>
          <w:rFonts w:hint="eastAsia" w:ascii="仿宋" w:hAnsi="仿宋" w:eastAsia="仿宋" w:cs="仿宋"/>
          <w:color w:val="000000"/>
          <w:sz w:val="30"/>
          <w:szCs w:val="30"/>
        </w:rPr>
        <w:t>2017年本部门本年收入合计</w:t>
      </w:r>
      <w:r>
        <w:rPr>
          <w:rFonts w:hint="eastAsia" w:ascii="仿宋" w:hAnsi="仿宋" w:eastAsia="仿宋" w:cs="仿宋"/>
          <w:color w:val="000000"/>
          <w:sz w:val="30"/>
          <w:szCs w:val="30"/>
          <w:lang w:val="en-US" w:eastAsia="zh-CN"/>
        </w:rPr>
        <w:t>484.84</w:t>
      </w:r>
      <w:r>
        <w:rPr>
          <w:rFonts w:hint="eastAsia" w:ascii="仿宋" w:hAnsi="仿宋" w:eastAsia="仿宋" w:cs="仿宋"/>
          <w:color w:val="000000"/>
          <w:sz w:val="30"/>
          <w:szCs w:val="30"/>
        </w:rPr>
        <w:t>万元，其中：一般公共预算财政拨款收入</w:t>
      </w:r>
      <w:r>
        <w:rPr>
          <w:rFonts w:hint="eastAsia" w:ascii="仿宋" w:hAnsi="仿宋" w:eastAsia="仿宋" w:cs="仿宋"/>
          <w:color w:val="000000"/>
          <w:sz w:val="30"/>
          <w:szCs w:val="30"/>
          <w:lang w:val="en-US" w:eastAsia="zh-CN"/>
        </w:rPr>
        <w:t>413.79</w:t>
      </w:r>
      <w:r>
        <w:rPr>
          <w:rFonts w:hint="eastAsia" w:ascii="仿宋" w:hAnsi="仿宋" w:eastAsia="仿宋" w:cs="仿宋"/>
          <w:color w:val="000000"/>
          <w:sz w:val="30"/>
          <w:szCs w:val="30"/>
        </w:rPr>
        <w:t>万元，占</w:t>
      </w:r>
      <w:r>
        <w:rPr>
          <w:rFonts w:hint="eastAsia" w:ascii="仿宋" w:hAnsi="仿宋" w:eastAsia="仿宋" w:cs="仿宋"/>
          <w:color w:val="000000"/>
          <w:sz w:val="30"/>
          <w:szCs w:val="30"/>
          <w:lang w:val="en-US" w:eastAsia="zh-CN"/>
        </w:rPr>
        <w:t>85.35</w:t>
      </w:r>
      <w:r>
        <w:rPr>
          <w:rFonts w:hint="eastAsia" w:ascii="仿宋" w:hAnsi="仿宋" w:eastAsia="仿宋" w:cs="仿宋"/>
          <w:color w:val="000000"/>
          <w:sz w:val="30"/>
          <w:szCs w:val="30"/>
        </w:rPr>
        <w:t>%；事业收入</w:t>
      </w:r>
      <w:r>
        <w:rPr>
          <w:rFonts w:hint="eastAsia" w:ascii="仿宋" w:hAnsi="仿宋" w:eastAsia="仿宋" w:cs="仿宋"/>
          <w:color w:val="000000"/>
          <w:sz w:val="30"/>
          <w:szCs w:val="30"/>
          <w:lang w:val="en-US" w:eastAsia="zh-CN"/>
        </w:rPr>
        <w:t>71.05</w:t>
      </w:r>
      <w:r>
        <w:rPr>
          <w:rFonts w:hint="eastAsia" w:ascii="仿宋" w:hAnsi="仿宋" w:eastAsia="仿宋" w:cs="仿宋"/>
          <w:color w:val="000000"/>
          <w:sz w:val="30"/>
          <w:szCs w:val="30"/>
        </w:rPr>
        <w:t>万元，占</w:t>
      </w:r>
      <w:r>
        <w:rPr>
          <w:rFonts w:hint="eastAsia" w:ascii="仿宋" w:hAnsi="仿宋" w:eastAsia="仿宋" w:cs="仿宋"/>
          <w:color w:val="000000"/>
          <w:sz w:val="30"/>
          <w:szCs w:val="30"/>
          <w:lang w:val="en-US" w:eastAsia="zh-CN"/>
        </w:rPr>
        <w:t>14.65</w:t>
      </w:r>
      <w:r>
        <w:rPr>
          <w:rFonts w:hint="eastAsia" w:ascii="仿宋" w:hAnsi="仿宋" w:eastAsia="仿宋" w:cs="仿宋"/>
          <w:color w:val="000000"/>
          <w:sz w:val="30"/>
          <w:szCs w:val="30"/>
        </w:rPr>
        <w:t>%</w:t>
      </w:r>
      <w:r>
        <w:rPr>
          <w:rFonts w:hint="eastAsia" w:ascii="仿宋" w:hAnsi="仿宋" w:eastAsia="仿宋" w:cs="仿宋"/>
          <w:color w:val="auto"/>
          <w:sz w:val="30"/>
          <w:szCs w:val="30"/>
          <w:shd w:val="clear" w:color="auto" w:fill="auto"/>
        </w:rPr>
        <w:t>。</w:t>
      </w:r>
      <w:r>
        <w:rPr>
          <w:rFonts w:hint="eastAsia" w:ascii="仿宋_GB2312" w:eastAsia="仿宋_GB2312"/>
          <w:color w:val="auto"/>
          <w:sz w:val="32"/>
          <w:szCs w:val="32"/>
        </w:rPr>
        <w:t>本年收入较上年度</w:t>
      </w:r>
      <w:r>
        <w:rPr>
          <w:rFonts w:hint="eastAsia" w:ascii="仿宋_GB2312" w:eastAsia="仿宋_GB2312"/>
          <w:color w:val="auto"/>
          <w:sz w:val="32"/>
          <w:szCs w:val="32"/>
          <w:lang w:val="en-US" w:eastAsia="zh-CN"/>
        </w:rPr>
        <w:t>增加25.42</w:t>
      </w:r>
      <w:r>
        <w:rPr>
          <w:rFonts w:hint="eastAsia" w:ascii="仿宋_GB2312" w:eastAsia="仿宋_GB2312"/>
          <w:color w:val="auto"/>
          <w:sz w:val="32"/>
          <w:szCs w:val="32"/>
        </w:rPr>
        <w:t>万元，增长</w:t>
      </w:r>
      <w:r>
        <w:rPr>
          <w:rFonts w:hint="eastAsia" w:ascii="仿宋_GB2312" w:eastAsia="仿宋_GB2312"/>
          <w:color w:val="auto"/>
          <w:sz w:val="32"/>
          <w:szCs w:val="32"/>
          <w:lang w:val="en-US" w:eastAsia="zh-CN"/>
        </w:rPr>
        <w:t>5.2</w:t>
      </w:r>
      <w:r>
        <w:rPr>
          <w:rFonts w:hint="eastAsia" w:ascii="仿宋_GB2312" w:eastAsia="仿宋_GB2312"/>
          <w:color w:val="auto"/>
          <w:sz w:val="32"/>
          <w:szCs w:val="32"/>
        </w:rPr>
        <w:t>%</w:t>
      </w:r>
      <w:r>
        <w:rPr>
          <w:rStyle w:val="5"/>
          <w:rFonts w:hint="eastAsia" w:ascii="仿宋" w:hAnsi="仿宋" w:eastAsia="仿宋" w:cs="仿宋"/>
          <w:b w:val="0"/>
          <w:color w:val="auto"/>
          <w:sz w:val="32"/>
          <w:szCs w:val="32"/>
        </w:rPr>
        <w:t>主要原因是每年教职工工资晋升及社保</w:t>
      </w:r>
      <w:r>
        <w:rPr>
          <w:rStyle w:val="5"/>
          <w:rFonts w:hint="eastAsia" w:ascii="仿宋" w:hAnsi="仿宋" w:eastAsia="仿宋" w:cs="仿宋"/>
          <w:b w:val="0"/>
          <w:color w:val="auto"/>
          <w:sz w:val="32"/>
          <w:szCs w:val="32"/>
          <w:lang w:eastAsia="zh-CN"/>
        </w:rPr>
        <w:t>、</w:t>
      </w:r>
      <w:r>
        <w:rPr>
          <w:rFonts w:hint="eastAsia" w:ascii="仿宋" w:hAnsi="仿宋" w:eastAsia="仿宋" w:cs="仿宋"/>
          <w:color w:val="auto"/>
          <w:sz w:val="30"/>
          <w:szCs w:val="30"/>
        </w:rPr>
        <w:t>学生资助拨款、幼儿保教费收入</w:t>
      </w:r>
      <w:r>
        <w:rPr>
          <w:rStyle w:val="5"/>
          <w:rFonts w:hint="eastAsia" w:ascii="仿宋" w:hAnsi="仿宋" w:eastAsia="仿宋" w:cs="仿宋"/>
          <w:b w:val="0"/>
          <w:color w:val="auto"/>
          <w:sz w:val="32"/>
          <w:szCs w:val="32"/>
        </w:rPr>
        <w:t>有所增加</w:t>
      </w:r>
      <w:r>
        <w:rPr>
          <w:rFonts w:hint="eastAsia" w:ascii="仿宋" w:hAnsi="仿宋" w:eastAsia="仿宋" w:cs="仿宋"/>
          <w:color w:val="auto"/>
          <w:sz w:val="32"/>
          <w:szCs w:val="32"/>
        </w:rPr>
        <w:t>。</w:t>
      </w:r>
    </w:p>
    <w:p>
      <w:pPr>
        <w:spacing w:line="600" w:lineRule="exact"/>
        <w:ind w:firstLine="600" w:firstLineChars="200"/>
        <w:rPr>
          <w:rFonts w:hint="eastAsia" w:ascii="仿宋" w:hAnsi="仿宋" w:eastAsia="仿宋" w:cs="仿宋"/>
          <w:color w:val="auto"/>
          <w:sz w:val="32"/>
          <w:szCs w:val="32"/>
        </w:rPr>
      </w:pPr>
      <w:r>
        <w:rPr>
          <w:rFonts w:hint="eastAsia" w:ascii="仿宋" w:hAnsi="仿宋" w:eastAsia="仿宋" w:cs="仿宋"/>
          <w:color w:val="000000"/>
          <w:sz w:val="30"/>
          <w:szCs w:val="30"/>
        </w:rPr>
        <w:t>2017年本部门本年支出合计</w:t>
      </w:r>
      <w:r>
        <w:rPr>
          <w:rFonts w:hint="eastAsia" w:ascii="仿宋" w:hAnsi="仿宋" w:eastAsia="仿宋" w:cs="仿宋"/>
          <w:color w:val="000000"/>
          <w:sz w:val="30"/>
          <w:szCs w:val="30"/>
          <w:lang w:val="en-US" w:eastAsia="zh-CN"/>
        </w:rPr>
        <w:t>505.58</w:t>
      </w:r>
      <w:r>
        <w:rPr>
          <w:rFonts w:hint="eastAsia" w:ascii="仿宋" w:hAnsi="仿宋" w:eastAsia="仿宋" w:cs="仿宋"/>
          <w:color w:val="000000"/>
          <w:sz w:val="30"/>
          <w:szCs w:val="30"/>
        </w:rPr>
        <w:t>万元，其中：基本支出</w:t>
      </w:r>
      <w:r>
        <w:rPr>
          <w:rFonts w:hint="eastAsia" w:ascii="仿宋" w:hAnsi="仿宋" w:eastAsia="仿宋" w:cs="仿宋"/>
          <w:color w:val="000000"/>
          <w:sz w:val="30"/>
          <w:szCs w:val="30"/>
          <w:lang w:val="en-US" w:eastAsia="zh-CN"/>
        </w:rPr>
        <w:t>487.86</w:t>
      </w:r>
      <w:r>
        <w:rPr>
          <w:rFonts w:hint="eastAsia" w:ascii="仿宋" w:hAnsi="仿宋" w:eastAsia="仿宋" w:cs="仿宋"/>
          <w:color w:val="000000"/>
          <w:sz w:val="30"/>
          <w:szCs w:val="30"/>
        </w:rPr>
        <w:t>万元，占</w:t>
      </w:r>
      <w:r>
        <w:rPr>
          <w:rFonts w:hint="eastAsia" w:ascii="仿宋" w:hAnsi="仿宋" w:eastAsia="仿宋" w:cs="仿宋"/>
          <w:color w:val="000000"/>
          <w:sz w:val="30"/>
          <w:szCs w:val="30"/>
          <w:lang w:val="en-US" w:eastAsia="zh-CN"/>
        </w:rPr>
        <w:t>96.5</w:t>
      </w:r>
      <w:r>
        <w:rPr>
          <w:rFonts w:hint="eastAsia" w:ascii="仿宋" w:hAnsi="仿宋" w:eastAsia="仿宋" w:cs="仿宋"/>
          <w:color w:val="000000"/>
          <w:sz w:val="30"/>
          <w:szCs w:val="30"/>
        </w:rPr>
        <w:t>%；项目支出</w:t>
      </w:r>
      <w:r>
        <w:rPr>
          <w:rFonts w:hint="eastAsia" w:ascii="仿宋" w:hAnsi="仿宋" w:eastAsia="仿宋" w:cs="仿宋"/>
          <w:color w:val="000000"/>
          <w:sz w:val="30"/>
          <w:szCs w:val="30"/>
          <w:lang w:val="en-US" w:eastAsia="zh-CN"/>
        </w:rPr>
        <w:t>17.72</w:t>
      </w:r>
      <w:r>
        <w:rPr>
          <w:rFonts w:hint="eastAsia" w:ascii="仿宋" w:hAnsi="仿宋" w:eastAsia="仿宋" w:cs="仿宋"/>
          <w:color w:val="000000"/>
          <w:sz w:val="30"/>
          <w:szCs w:val="30"/>
        </w:rPr>
        <w:t>万元，占</w:t>
      </w:r>
      <w:r>
        <w:rPr>
          <w:rFonts w:hint="eastAsia" w:ascii="仿宋" w:hAnsi="仿宋" w:eastAsia="仿宋" w:cs="仿宋"/>
          <w:color w:val="000000"/>
          <w:sz w:val="30"/>
          <w:szCs w:val="30"/>
          <w:lang w:val="en-US" w:eastAsia="zh-CN"/>
        </w:rPr>
        <w:t>3.5</w:t>
      </w:r>
      <w:r>
        <w:rPr>
          <w:rFonts w:hint="eastAsia" w:ascii="仿宋" w:hAnsi="仿宋" w:eastAsia="仿宋" w:cs="仿宋"/>
          <w:color w:val="000000"/>
          <w:sz w:val="30"/>
          <w:szCs w:val="30"/>
        </w:rPr>
        <w:t>%</w:t>
      </w:r>
      <w:r>
        <w:rPr>
          <w:rFonts w:hint="eastAsia" w:ascii="仿宋" w:hAnsi="仿宋" w:eastAsia="仿宋" w:cs="仿宋"/>
          <w:color w:val="000000"/>
          <w:sz w:val="30"/>
          <w:szCs w:val="30"/>
          <w:lang w:val="en-US" w:eastAsia="zh-CN"/>
        </w:rPr>
        <w:t>.</w:t>
      </w:r>
      <w:r>
        <w:rPr>
          <w:rFonts w:hint="eastAsia" w:ascii="仿宋" w:hAnsi="仿宋" w:eastAsia="仿宋" w:cs="仿宋"/>
          <w:color w:val="auto"/>
          <w:sz w:val="30"/>
          <w:szCs w:val="30"/>
          <w:lang w:val="en-US" w:eastAsia="zh-CN"/>
        </w:rPr>
        <w:t>本年</w:t>
      </w:r>
      <w:r>
        <w:rPr>
          <w:rFonts w:hint="eastAsia" w:ascii="仿宋" w:hAnsi="仿宋" w:eastAsia="仿宋" w:cs="仿宋"/>
          <w:color w:val="auto"/>
          <w:sz w:val="30"/>
          <w:szCs w:val="30"/>
        </w:rPr>
        <w:t>支出减少24.89万元。</w:t>
      </w:r>
      <w:r>
        <w:rPr>
          <w:rFonts w:hint="eastAsia" w:ascii="仿宋" w:hAnsi="仿宋" w:eastAsia="仿宋" w:cs="仿宋"/>
          <w:color w:val="auto"/>
          <w:sz w:val="30"/>
          <w:szCs w:val="30"/>
          <w:lang w:val="en-US" w:eastAsia="zh-CN"/>
        </w:rPr>
        <w:t>下降4.9%，</w:t>
      </w:r>
      <w:r>
        <w:rPr>
          <w:rFonts w:hint="eastAsia" w:ascii="仿宋" w:hAnsi="仿宋" w:eastAsia="仿宋" w:cs="仿宋"/>
          <w:color w:val="auto"/>
          <w:sz w:val="32"/>
          <w:szCs w:val="32"/>
        </w:rPr>
        <w:t>本年支出较上年度减少</w:t>
      </w:r>
      <w:r>
        <w:rPr>
          <w:rFonts w:hint="eastAsia" w:ascii="仿宋" w:hAnsi="仿宋" w:eastAsia="仿宋" w:cs="仿宋"/>
          <w:color w:val="auto"/>
          <w:sz w:val="32"/>
          <w:szCs w:val="32"/>
          <w:lang w:eastAsia="zh-CN"/>
        </w:rPr>
        <w:t>，</w:t>
      </w:r>
      <w:r>
        <w:rPr>
          <w:rStyle w:val="5"/>
          <w:rFonts w:hint="eastAsia" w:ascii="仿宋" w:hAnsi="仿宋" w:eastAsia="仿宋" w:cs="仿宋"/>
          <w:b w:val="0"/>
          <w:color w:val="auto"/>
          <w:sz w:val="32"/>
          <w:szCs w:val="32"/>
        </w:rPr>
        <w:t>主要原因是维修、设备及日常公用经费在经费严重不足的情况下在压缩</w:t>
      </w:r>
      <w:r>
        <w:rPr>
          <w:rFonts w:hint="eastAsia" w:ascii="仿宋" w:hAnsi="仿宋" w:eastAsia="仿宋" w:cs="仿宋"/>
          <w:color w:val="auto"/>
          <w:sz w:val="32"/>
          <w:szCs w:val="32"/>
        </w:rPr>
        <w:t>。</w:t>
      </w:r>
    </w:p>
    <w:p>
      <w:pPr>
        <w:spacing w:line="600" w:lineRule="exact"/>
        <w:ind w:firstLine="602" w:firstLineChars="200"/>
        <w:rPr>
          <w:rFonts w:hint="eastAsia" w:ascii="黑体" w:hAnsi="黑体" w:eastAsia="黑体" w:cs="黑体"/>
          <w:b/>
          <w:bCs/>
          <w:color w:val="000000"/>
          <w:sz w:val="30"/>
          <w:szCs w:val="30"/>
        </w:rPr>
      </w:pPr>
      <w:r>
        <w:rPr>
          <w:rFonts w:hint="eastAsia" w:ascii="黑体" w:hAnsi="黑体" w:eastAsia="黑体" w:cs="黑体"/>
          <w:b/>
          <w:bCs/>
          <w:color w:val="000000"/>
          <w:sz w:val="30"/>
          <w:szCs w:val="30"/>
          <w:lang w:val="en-US" w:eastAsia="zh-CN"/>
        </w:rPr>
        <w:t>四</w:t>
      </w:r>
      <w:r>
        <w:rPr>
          <w:rFonts w:hint="eastAsia" w:ascii="黑体" w:hAnsi="黑体" w:eastAsia="黑体" w:cs="黑体"/>
          <w:b/>
          <w:bCs/>
          <w:color w:val="000000"/>
          <w:sz w:val="30"/>
          <w:szCs w:val="30"/>
        </w:rPr>
        <w:t>、财政拨款收入支出决算总体情况说明</w:t>
      </w:r>
    </w:p>
    <w:p>
      <w:pPr>
        <w:spacing w:line="6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2017年度本部门财政拨款收入总计</w:t>
      </w:r>
      <w:r>
        <w:rPr>
          <w:rFonts w:hint="eastAsia" w:ascii="仿宋" w:hAnsi="仿宋" w:eastAsia="仿宋" w:cs="仿宋"/>
          <w:color w:val="000000"/>
          <w:sz w:val="30"/>
          <w:szCs w:val="30"/>
          <w:lang w:val="en-US" w:eastAsia="zh-CN"/>
        </w:rPr>
        <w:t>413.79</w:t>
      </w:r>
      <w:r>
        <w:rPr>
          <w:rFonts w:hint="eastAsia" w:ascii="仿宋" w:hAnsi="仿宋" w:eastAsia="仿宋" w:cs="仿宋"/>
          <w:color w:val="000000"/>
          <w:sz w:val="30"/>
          <w:szCs w:val="30"/>
        </w:rPr>
        <w:t>万元、财政拨款支出总计</w:t>
      </w:r>
      <w:r>
        <w:rPr>
          <w:rFonts w:hint="eastAsia" w:ascii="仿宋" w:hAnsi="仿宋" w:eastAsia="仿宋" w:cs="仿宋"/>
          <w:color w:val="000000"/>
          <w:sz w:val="30"/>
          <w:szCs w:val="30"/>
          <w:lang w:val="en-US" w:eastAsia="zh-CN"/>
        </w:rPr>
        <w:t>434.53</w:t>
      </w:r>
      <w:r>
        <w:rPr>
          <w:rFonts w:hint="eastAsia" w:ascii="仿宋" w:hAnsi="仿宋" w:eastAsia="仿宋" w:cs="仿宋"/>
          <w:color w:val="000000"/>
          <w:sz w:val="30"/>
          <w:szCs w:val="30"/>
        </w:rPr>
        <w:t>万元。与2016年相比，财政拨款收入</w:t>
      </w:r>
      <w:r>
        <w:rPr>
          <w:rFonts w:hint="eastAsia" w:ascii="仿宋" w:hAnsi="仿宋" w:eastAsia="仿宋" w:cs="仿宋"/>
          <w:color w:val="000000"/>
          <w:sz w:val="30"/>
          <w:szCs w:val="30"/>
          <w:lang w:eastAsia="zh-CN"/>
        </w:rPr>
        <w:t>减少</w:t>
      </w:r>
      <w:r>
        <w:rPr>
          <w:rFonts w:hint="eastAsia" w:ascii="仿宋" w:hAnsi="仿宋" w:eastAsia="仿宋" w:cs="仿宋"/>
          <w:color w:val="000000"/>
          <w:sz w:val="30"/>
          <w:szCs w:val="30"/>
          <w:lang w:val="en-US" w:eastAsia="zh-CN"/>
        </w:rPr>
        <w:t>43.6</w:t>
      </w:r>
      <w:r>
        <w:rPr>
          <w:rFonts w:hint="eastAsia" w:ascii="仿宋" w:hAnsi="仿宋" w:eastAsia="仿宋" w:cs="仿宋"/>
          <w:color w:val="000000"/>
          <w:sz w:val="30"/>
          <w:szCs w:val="30"/>
        </w:rPr>
        <w:t>万元，</w:t>
      </w:r>
      <w:r>
        <w:rPr>
          <w:rFonts w:hint="eastAsia" w:ascii="仿宋" w:hAnsi="仿宋" w:eastAsia="仿宋" w:cs="仿宋"/>
          <w:color w:val="000000"/>
          <w:sz w:val="30"/>
          <w:szCs w:val="30"/>
          <w:lang w:eastAsia="zh-CN"/>
        </w:rPr>
        <w:t>减少</w:t>
      </w:r>
      <w:r>
        <w:rPr>
          <w:rFonts w:hint="eastAsia" w:ascii="仿宋" w:hAnsi="仿宋" w:eastAsia="仿宋" w:cs="仿宋"/>
          <w:color w:val="000000"/>
          <w:sz w:val="30"/>
          <w:szCs w:val="30"/>
          <w:lang w:val="en-US" w:eastAsia="zh-CN"/>
        </w:rPr>
        <w:t>9.5</w:t>
      </w:r>
      <w:r>
        <w:rPr>
          <w:rFonts w:hint="eastAsia" w:ascii="仿宋" w:hAnsi="仿宋" w:eastAsia="仿宋" w:cs="仿宋"/>
          <w:color w:val="000000"/>
          <w:sz w:val="30"/>
          <w:szCs w:val="30"/>
        </w:rPr>
        <w:t>%、财政拨款支出总计</w:t>
      </w:r>
      <w:r>
        <w:rPr>
          <w:rFonts w:hint="eastAsia" w:ascii="仿宋" w:hAnsi="仿宋" w:eastAsia="仿宋" w:cs="仿宋"/>
          <w:color w:val="000000"/>
          <w:sz w:val="30"/>
          <w:szCs w:val="30"/>
          <w:lang w:eastAsia="zh-CN"/>
        </w:rPr>
        <w:t>减少</w:t>
      </w:r>
      <w:r>
        <w:rPr>
          <w:rFonts w:hint="eastAsia" w:ascii="仿宋" w:hAnsi="仿宋" w:eastAsia="仿宋" w:cs="仿宋"/>
          <w:color w:val="000000"/>
          <w:sz w:val="30"/>
          <w:szCs w:val="30"/>
          <w:lang w:val="en-US" w:eastAsia="zh-CN"/>
        </w:rPr>
        <w:t>47.18</w:t>
      </w:r>
      <w:r>
        <w:rPr>
          <w:rFonts w:hint="eastAsia" w:ascii="仿宋" w:hAnsi="仿宋" w:eastAsia="仿宋" w:cs="仿宋"/>
          <w:color w:val="000000"/>
          <w:sz w:val="30"/>
          <w:szCs w:val="30"/>
        </w:rPr>
        <w:t>万元，</w:t>
      </w:r>
      <w:r>
        <w:rPr>
          <w:rFonts w:hint="eastAsia" w:ascii="仿宋" w:hAnsi="仿宋" w:eastAsia="仿宋" w:cs="仿宋"/>
          <w:color w:val="000000"/>
          <w:sz w:val="30"/>
          <w:szCs w:val="30"/>
          <w:lang w:eastAsia="zh-CN"/>
        </w:rPr>
        <w:t>减少</w:t>
      </w:r>
      <w:r>
        <w:rPr>
          <w:rFonts w:hint="eastAsia" w:ascii="仿宋" w:hAnsi="仿宋" w:eastAsia="仿宋" w:cs="仿宋"/>
          <w:color w:val="000000"/>
          <w:sz w:val="30"/>
          <w:szCs w:val="30"/>
          <w:lang w:val="en-US" w:eastAsia="zh-CN"/>
        </w:rPr>
        <w:t>9.8%</w:t>
      </w:r>
      <w:r>
        <w:rPr>
          <w:rFonts w:hint="eastAsia" w:ascii="仿宋" w:hAnsi="仿宋" w:eastAsia="仿宋" w:cs="仿宋"/>
          <w:color w:val="000000"/>
          <w:sz w:val="30"/>
          <w:szCs w:val="30"/>
        </w:rPr>
        <w:t>。</w:t>
      </w:r>
      <w:r>
        <w:rPr>
          <w:rFonts w:hint="eastAsia" w:ascii="仿宋" w:hAnsi="仿宋" w:eastAsia="仿宋" w:cs="仿宋"/>
          <w:color w:val="000000"/>
          <w:sz w:val="30"/>
          <w:szCs w:val="30"/>
          <w:lang w:val="en-US" w:eastAsia="zh-CN"/>
        </w:rPr>
        <w:t>主要原因是在职教师人数减少。</w:t>
      </w:r>
    </w:p>
    <w:p>
      <w:pPr>
        <w:spacing w:line="600" w:lineRule="exact"/>
        <w:ind w:firstLine="602" w:firstLineChars="200"/>
        <w:rPr>
          <w:rFonts w:hint="eastAsia" w:ascii="黑体" w:hAnsi="黑体" w:eastAsia="黑体" w:cs="黑体"/>
          <w:b/>
          <w:bCs/>
          <w:color w:val="000000"/>
          <w:sz w:val="30"/>
          <w:szCs w:val="30"/>
        </w:rPr>
      </w:pPr>
      <w:r>
        <w:rPr>
          <w:rFonts w:hint="eastAsia" w:ascii="黑体" w:hAnsi="黑体" w:eastAsia="黑体" w:cs="黑体"/>
          <w:b/>
          <w:bCs/>
          <w:color w:val="000000"/>
          <w:sz w:val="30"/>
          <w:szCs w:val="30"/>
          <w:lang w:val="en-US" w:eastAsia="zh-CN"/>
        </w:rPr>
        <w:t>五</w:t>
      </w:r>
      <w:r>
        <w:rPr>
          <w:rFonts w:hint="eastAsia" w:ascii="黑体" w:hAnsi="黑体" w:eastAsia="黑体" w:cs="黑体"/>
          <w:b/>
          <w:bCs/>
          <w:color w:val="000000"/>
          <w:sz w:val="30"/>
          <w:szCs w:val="30"/>
        </w:rPr>
        <w:t>、一般公共预算财政拨款支出决算情况说明</w:t>
      </w:r>
    </w:p>
    <w:p>
      <w:pPr>
        <w:spacing w:line="6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（一）一般公共预算财政拨款支出决算总体情况</w:t>
      </w:r>
    </w:p>
    <w:p>
      <w:pPr>
        <w:spacing w:line="6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2017年度本部门一般公共预算财政拨款支出</w:t>
      </w:r>
      <w:r>
        <w:rPr>
          <w:rFonts w:hint="eastAsia" w:ascii="仿宋" w:hAnsi="仿宋" w:eastAsia="仿宋" w:cs="仿宋"/>
          <w:color w:val="000000"/>
          <w:sz w:val="30"/>
          <w:szCs w:val="30"/>
          <w:lang w:val="en-US" w:eastAsia="zh-CN"/>
        </w:rPr>
        <w:t>434.53</w:t>
      </w:r>
      <w:r>
        <w:rPr>
          <w:rFonts w:hint="eastAsia" w:ascii="仿宋" w:hAnsi="仿宋" w:eastAsia="仿宋" w:cs="仿宋"/>
          <w:color w:val="000000"/>
          <w:sz w:val="30"/>
          <w:szCs w:val="30"/>
        </w:rPr>
        <w:t>万元，占本年支出合计的</w:t>
      </w:r>
      <w:r>
        <w:rPr>
          <w:rFonts w:hint="eastAsia" w:ascii="仿宋" w:hAnsi="仿宋" w:eastAsia="仿宋" w:cs="仿宋"/>
          <w:color w:val="000000"/>
          <w:sz w:val="30"/>
          <w:szCs w:val="30"/>
          <w:lang w:val="en-US" w:eastAsia="zh-CN"/>
        </w:rPr>
        <w:t>85.95</w:t>
      </w:r>
      <w:r>
        <w:rPr>
          <w:rFonts w:hint="eastAsia" w:ascii="仿宋" w:hAnsi="仿宋" w:eastAsia="仿宋" w:cs="仿宋"/>
          <w:color w:val="000000"/>
          <w:sz w:val="30"/>
          <w:szCs w:val="30"/>
        </w:rPr>
        <w:t>%。与2016年相比，一般公共预算财政拨款</w:t>
      </w:r>
      <w:r>
        <w:rPr>
          <w:rFonts w:hint="eastAsia" w:ascii="仿宋" w:hAnsi="仿宋" w:eastAsia="仿宋" w:cs="仿宋"/>
          <w:color w:val="000000"/>
          <w:sz w:val="30"/>
          <w:szCs w:val="30"/>
          <w:lang w:eastAsia="zh-CN"/>
        </w:rPr>
        <w:t>减少</w:t>
      </w:r>
      <w:r>
        <w:rPr>
          <w:rFonts w:hint="eastAsia" w:ascii="仿宋" w:hAnsi="仿宋" w:eastAsia="仿宋" w:cs="仿宋"/>
          <w:color w:val="000000"/>
          <w:sz w:val="30"/>
          <w:szCs w:val="30"/>
          <w:lang w:val="en-US" w:eastAsia="zh-CN"/>
        </w:rPr>
        <w:t>43.6</w:t>
      </w:r>
      <w:r>
        <w:rPr>
          <w:rFonts w:hint="eastAsia" w:ascii="仿宋" w:hAnsi="仿宋" w:eastAsia="仿宋" w:cs="仿宋"/>
          <w:color w:val="000000"/>
          <w:sz w:val="30"/>
          <w:szCs w:val="30"/>
        </w:rPr>
        <w:t>万元，</w:t>
      </w:r>
      <w:r>
        <w:rPr>
          <w:rFonts w:hint="eastAsia" w:ascii="仿宋" w:hAnsi="仿宋" w:eastAsia="仿宋" w:cs="仿宋"/>
          <w:color w:val="000000"/>
          <w:sz w:val="30"/>
          <w:szCs w:val="30"/>
          <w:lang w:eastAsia="zh-CN"/>
        </w:rPr>
        <w:t>减少</w:t>
      </w:r>
      <w:r>
        <w:rPr>
          <w:rFonts w:hint="eastAsia" w:ascii="仿宋" w:hAnsi="仿宋" w:eastAsia="仿宋" w:cs="仿宋"/>
          <w:color w:val="000000"/>
          <w:sz w:val="30"/>
          <w:szCs w:val="30"/>
          <w:lang w:val="en-US" w:eastAsia="zh-CN"/>
        </w:rPr>
        <w:t>9.5</w:t>
      </w:r>
      <w:r>
        <w:rPr>
          <w:rFonts w:hint="eastAsia" w:ascii="仿宋" w:hAnsi="仿宋" w:eastAsia="仿宋" w:cs="仿宋"/>
          <w:color w:val="000000"/>
          <w:sz w:val="30"/>
          <w:szCs w:val="30"/>
        </w:rPr>
        <w:t>%。</w:t>
      </w:r>
    </w:p>
    <w:p>
      <w:pPr>
        <w:spacing w:line="6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（二）一般公共预算财政拨款支出决算结构情况</w:t>
      </w:r>
    </w:p>
    <w:p>
      <w:pPr>
        <w:spacing w:line="600" w:lineRule="exact"/>
        <w:ind w:firstLine="640"/>
        <w:rPr>
          <w:rFonts w:hint="eastAsia" w:ascii="仿宋" w:hAnsi="仿宋" w:eastAsia="仿宋" w:cs="仿宋"/>
          <w:color w:val="000000"/>
          <w:sz w:val="30"/>
          <w:szCs w:val="30"/>
        </w:rPr>
      </w:pPr>
      <w:r>
        <w:rPr>
          <w:rFonts w:hint="eastAsia" w:ascii="仿宋" w:hAnsi="仿宋" w:eastAsia="仿宋" w:cs="仿宋"/>
          <w:color w:val="000000"/>
          <w:sz w:val="30"/>
          <w:szCs w:val="30"/>
        </w:rPr>
        <w:t>2017年本部门一般公共预算财政拨款支出</w:t>
      </w:r>
      <w:r>
        <w:rPr>
          <w:rFonts w:hint="eastAsia" w:ascii="仿宋" w:hAnsi="仿宋" w:eastAsia="仿宋" w:cs="仿宋"/>
          <w:color w:val="000000"/>
          <w:sz w:val="30"/>
          <w:szCs w:val="30"/>
          <w:lang w:val="en-US" w:eastAsia="zh-CN"/>
        </w:rPr>
        <w:t>434.53</w:t>
      </w:r>
      <w:r>
        <w:rPr>
          <w:rFonts w:hint="eastAsia" w:ascii="仿宋" w:hAnsi="仿宋" w:eastAsia="仿宋" w:cs="仿宋"/>
          <w:color w:val="000000"/>
          <w:sz w:val="30"/>
          <w:szCs w:val="30"/>
        </w:rPr>
        <w:t>万元，主要用于以下方面:教育支出</w:t>
      </w:r>
      <w:r>
        <w:rPr>
          <w:rFonts w:hint="eastAsia" w:ascii="仿宋" w:hAnsi="仿宋" w:eastAsia="仿宋" w:cs="仿宋"/>
          <w:color w:val="000000"/>
          <w:sz w:val="30"/>
          <w:szCs w:val="30"/>
          <w:lang w:val="en-US" w:eastAsia="zh-CN"/>
        </w:rPr>
        <w:t>351.31</w:t>
      </w:r>
      <w:r>
        <w:rPr>
          <w:rFonts w:hint="eastAsia" w:ascii="仿宋" w:hAnsi="仿宋" w:eastAsia="仿宋" w:cs="仿宋"/>
          <w:color w:val="000000"/>
          <w:sz w:val="30"/>
          <w:szCs w:val="30"/>
        </w:rPr>
        <w:t>万元，占</w:t>
      </w:r>
      <w:r>
        <w:rPr>
          <w:rFonts w:hint="eastAsia" w:ascii="仿宋" w:hAnsi="仿宋" w:eastAsia="仿宋" w:cs="仿宋"/>
          <w:color w:val="000000"/>
          <w:sz w:val="30"/>
          <w:szCs w:val="30"/>
          <w:lang w:val="en-US" w:eastAsia="zh-CN"/>
        </w:rPr>
        <w:t>80.8</w:t>
      </w:r>
      <w:r>
        <w:rPr>
          <w:rFonts w:hint="eastAsia" w:ascii="仿宋" w:hAnsi="仿宋" w:eastAsia="仿宋" w:cs="仿宋"/>
          <w:color w:val="000000"/>
          <w:sz w:val="30"/>
          <w:szCs w:val="30"/>
        </w:rPr>
        <w:t>%；社会保障和就业支出</w:t>
      </w:r>
      <w:r>
        <w:rPr>
          <w:rFonts w:hint="eastAsia" w:ascii="仿宋" w:hAnsi="仿宋" w:eastAsia="仿宋" w:cs="仿宋"/>
          <w:color w:val="000000"/>
          <w:sz w:val="30"/>
          <w:szCs w:val="30"/>
          <w:lang w:val="en-US" w:eastAsia="zh-CN"/>
        </w:rPr>
        <w:t>45.92</w:t>
      </w:r>
      <w:r>
        <w:rPr>
          <w:rFonts w:hint="eastAsia" w:ascii="仿宋" w:hAnsi="仿宋" w:eastAsia="仿宋" w:cs="仿宋"/>
          <w:color w:val="000000"/>
          <w:sz w:val="30"/>
          <w:szCs w:val="30"/>
        </w:rPr>
        <w:t>万元，占</w:t>
      </w:r>
      <w:r>
        <w:rPr>
          <w:rFonts w:hint="eastAsia" w:ascii="仿宋" w:hAnsi="仿宋" w:eastAsia="仿宋" w:cs="仿宋"/>
          <w:color w:val="000000"/>
          <w:sz w:val="30"/>
          <w:szCs w:val="30"/>
          <w:lang w:val="en-US" w:eastAsia="zh-CN"/>
        </w:rPr>
        <w:t>10.6</w:t>
      </w:r>
      <w:r>
        <w:rPr>
          <w:rFonts w:hint="eastAsia" w:ascii="仿宋" w:hAnsi="仿宋" w:eastAsia="仿宋" w:cs="仿宋"/>
          <w:color w:val="000000"/>
          <w:sz w:val="30"/>
          <w:szCs w:val="30"/>
        </w:rPr>
        <w:t>%；医疗卫生支出</w:t>
      </w:r>
      <w:r>
        <w:rPr>
          <w:rFonts w:hint="eastAsia" w:ascii="仿宋" w:hAnsi="仿宋" w:eastAsia="仿宋" w:cs="仿宋"/>
          <w:color w:val="000000"/>
          <w:sz w:val="30"/>
          <w:szCs w:val="30"/>
          <w:lang w:val="en-US" w:eastAsia="zh-CN"/>
        </w:rPr>
        <w:t>18.93</w:t>
      </w:r>
      <w:r>
        <w:rPr>
          <w:rFonts w:hint="eastAsia" w:ascii="仿宋" w:hAnsi="仿宋" w:eastAsia="仿宋" w:cs="仿宋"/>
          <w:color w:val="000000"/>
          <w:sz w:val="30"/>
          <w:szCs w:val="30"/>
        </w:rPr>
        <w:t>万元，占</w:t>
      </w:r>
      <w:r>
        <w:rPr>
          <w:rFonts w:hint="eastAsia" w:ascii="仿宋" w:hAnsi="仿宋" w:eastAsia="仿宋" w:cs="仿宋"/>
          <w:color w:val="000000"/>
          <w:sz w:val="30"/>
          <w:szCs w:val="30"/>
          <w:lang w:val="en-US" w:eastAsia="zh-CN"/>
        </w:rPr>
        <w:t>4.4</w:t>
      </w:r>
      <w:r>
        <w:rPr>
          <w:rFonts w:hint="eastAsia" w:ascii="仿宋" w:hAnsi="仿宋" w:eastAsia="仿宋" w:cs="仿宋"/>
          <w:color w:val="000000"/>
          <w:sz w:val="30"/>
          <w:szCs w:val="30"/>
        </w:rPr>
        <w:t>%；住房保障支出</w:t>
      </w:r>
      <w:r>
        <w:rPr>
          <w:rFonts w:hint="eastAsia" w:ascii="仿宋" w:hAnsi="仿宋" w:eastAsia="仿宋" w:cs="仿宋"/>
          <w:color w:val="000000"/>
          <w:sz w:val="30"/>
          <w:szCs w:val="30"/>
          <w:lang w:val="en-US" w:eastAsia="zh-CN"/>
        </w:rPr>
        <w:t>18.37</w:t>
      </w:r>
      <w:r>
        <w:rPr>
          <w:rFonts w:hint="eastAsia" w:ascii="仿宋" w:hAnsi="仿宋" w:eastAsia="仿宋" w:cs="仿宋"/>
          <w:color w:val="000000"/>
          <w:sz w:val="30"/>
          <w:szCs w:val="30"/>
        </w:rPr>
        <w:t>万元，占</w:t>
      </w:r>
      <w:r>
        <w:rPr>
          <w:rFonts w:hint="eastAsia" w:ascii="仿宋" w:hAnsi="仿宋" w:eastAsia="仿宋" w:cs="仿宋"/>
          <w:color w:val="000000"/>
          <w:sz w:val="30"/>
          <w:szCs w:val="30"/>
          <w:lang w:val="en-US" w:eastAsia="zh-CN"/>
        </w:rPr>
        <w:t>4.2</w:t>
      </w:r>
      <w:r>
        <w:rPr>
          <w:rFonts w:hint="eastAsia" w:ascii="仿宋" w:hAnsi="仿宋" w:eastAsia="仿宋" w:cs="仿宋"/>
          <w:color w:val="000000"/>
          <w:sz w:val="30"/>
          <w:szCs w:val="30"/>
        </w:rPr>
        <w:t>%。</w:t>
      </w:r>
    </w:p>
    <w:p>
      <w:pPr>
        <w:spacing w:line="600" w:lineRule="exact"/>
        <w:ind w:firstLine="600" w:firstLineChars="200"/>
        <w:rPr>
          <w:rFonts w:hint="eastAsia" w:ascii="仿宋" w:hAnsi="仿宋" w:eastAsia="仿宋" w:cs="仿宋"/>
          <w:color w:val="000000"/>
          <w:sz w:val="30"/>
          <w:szCs w:val="30"/>
        </w:rPr>
      </w:pPr>
      <w:r>
        <w:rPr>
          <w:rFonts w:hint="eastAsia" w:ascii="仿宋" w:hAnsi="仿宋" w:eastAsia="仿宋" w:cs="仿宋"/>
          <w:color w:val="000000"/>
          <w:sz w:val="30"/>
          <w:szCs w:val="30"/>
        </w:rPr>
        <w:t>（三）一般公共预算财政拨款支出决算具体情况</w:t>
      </w:r>
    </w:p>
    <w:p>
      <w:pPr>
        <w:ind w:firstLine="643" w:firstLineChars="200"/>
        <w:rPr>
          <w:rFonts w:hint="eastAsia" w:ascii="仿宋" w:hAnsi="仿宋" w:eastAsia="仿宋" w:cs="仿宋"/>
          <w:sz w:val="30"/>
          <w:szCs w:val="30"/>
        </w:rPr>
      </w:pPr>
      <w:r>
        <w:rPr>
          <w:rStyle w:val="5"/>
          <w:rFonts w:hint="eastAsia" w:ascii="仿宋_GB2312" w:eastAsia="仿宋_GB2312"/>
          <w:color w:val="000000"/>
          <w:sz w:val="32"/>
          <w:szCs w:val="32"/>
        </w:rPr>
        <w:t>1.教育支出（类）普通教育（款）</w:t>
      </w:r>
      <w:r>
        <w:rPr>
          <w:rStyle w:val="5"/>
          <w:rFonts w:hint="eastAsia" w:ascii="仿宋_GB2312" w:eastAsia="仿宋_GB2312"/>
          <w:color w:val="000000"/>
          <w:sz w:val="32"/>
          <w:szCs w:val="32"/>
          <w:lang w:eastAsia="zh-CN"/>
        </w:rPr>
        <w:t>学前</w:t>
      </w:r>
      <w:r>
        <w:rPr>
          <w:rStyle w:val="5"/>
          <w:rFonts w:hint="eastAsia" w:ascii="仿宋_GB2312" w:eastAsia="仿宋_GB2312"/>
          <w:color w:val="000000"/>
          <w:sz w:val="32"/>
          <w:szCs w:val="32"/>
        </w:rPr>
        <w:t>教育（项）</w:t>
      </w:r>
      <w:r>
        <w:rPr>
          <w:rStyle w:val="5"/>
          <w:rFonts w:hint="eastAsia" w:ascii="仿宋" w:hAnsi="仿宋" w:eastAsia="仿宋" w:cs="仿宋"/>
          <w:color w:val="000000"/>
          <w:sz w:val="30"/>
          <w:szCs w:val="30"/>
        </w:rPr>
        <w:t>:</w:t>
      </w:r>
      <w:r>
        <w:rPr>
          <w:rStyle w:val="5"/>
          <w:rFonts w:hint="eastAsia" w:ascii="仿宋" w:hAnsi="仿宋" w:eastAsia="仿宋" w:cs="仿宋"/>
          <w:b w:val="0"/>
          <w:color w:val="000000"/>
          <w:sz w:val="30"/>
          <w:szCs w:val="30"/>
        </w:rPr>
        <w:t xml:space="preserve"> </w:t>
      </w:r>
      <w:r>
        <w:rPr>
          <w:rStyle w:val="5"/>
          <w:rFonts w:hint="eastAsia" w:ascii="仿宋" w:hAnsi="仿宋" w:eastAsia="仿宋" w:cs="仿宋"/>
          <w:b w:val="0"/>
          <w:color w:val="000000"/>
          <w:sz w:val="30"/>
          <w:szCs w:val="30"/>
          <w:lang w:eastAsia="zh-CN"/>
        </w:rPr>
        <w:t>基本</w:t>
      </w:r>
      <w:r>
        <w:rPr>
          <w:rStyle w:val="5"/>
          <w:rFonts w:hint="eastAsia" w:ascii="仿宋" w:hAnsi="仿宋" w:eastAsia="仿宋" w:cs="仿宋"/>
          <w:b w:val="0"/>
          <w:color w:val="000000"/>
          <w:sz w:val="30"/>
          <w:szCs w:val="30"/>
        </w:rPr>
        <w:t>支出决算为</w:t>
      </w:r>
      <w:r>
        <w:rPr>
          <w:rStyle w:val="5"/>
          <w:rFonts w:hint="eastAsia" w:ascii="仿宋" w:hAnsi="仿宋" w:eastAsia="仿宋" w:cs="仿宋"/>
          <w:b w:val="0"/>
          <w:color w:val="000000"/>
          <w:sz w:val="30"/>
          <w:szCs w:val="30"/>
          <w:lang w:val="en-US" w:eastAsia="zh-CN"/>
        </w:rPr>
        <w:t>351.31</w:t>
      </w:r>
      <w:r>
        <w:rPr>
          <w:rStyle w:val="5"/>
          <w:rFonts w:hint="eastAsia" w:ascii="仿宋" w:hAnsi="仿宋" w:eastAsia="仿宋" w:cs="仿宋"/>
          <w:b w:val="0"/>
          <w:color w:val="000000"/>
          <w:sz w:val="30"/>
          <w:szCs w:val="30"/>
        </w:rPr>
        <w:t>万元，完成预算</w:t>
      </w:r>
      <w:r>
        <w:rPr>
          <w:rStyle w:val="5"/>
          <w:rFonts w:hint="eastAsia" w:ascii="仿宋" w:hAnsi="仿宋" w:eastAsia="仿宋" w:cs="仿宋"/>
          <w:b w:val="0"/>
          <w:color w:val="000000"/>
          <w:sz w:val="30"/>
          <w:szCs w:val="30"/>
          <w:lang w:val="en-US" w:eastAsia="zh-CN"/>
        </w:rPr>
        <w:t>94</w:t>
      </w:r>
      <w:r>
        <w:rPr>
          <w:rStyle w:val="5"/>
          <w:rFonts w:hint="eastAsia" w:ascii="仿宋" w:hAnsi="仿宋" w:eastAsia="仿宋" w:cs="仿宋"/>
          <w:b w:val="0"/>
          <w:color w:val="000000"/>
          <w:sz w:val="30"/>
          <w:szCs w:val="30"/>
        </w:rPr>
        <w:t>%，决算数</w:t>
      </w:r>
      <w:r>
        <w:rPr>
          <w:rStyle w:val="5"/>
          <w:rFonts w:hint="eastAsia" w:ascii="仿宋" w:hAnsi="仿宋" w:eastAsia="仿宋" w:cs="仿宋"/>
          <w:b w:val="0"/>
          <w:color w:val="000000"/>
          <w:sz w:val="30"/>
          <w:szCs w:val="30"/>
          <w:lang w:val="en-US" w:eastAsia="zh-CN"/>
        </w:rPr>
        <w:t>小于</w:t>
      </w:r>
      <w:r>
        <w:rPr>
          <w:rStyle w:val="5"/>
          <w:rFonts w:hint="eastAsia" w:ascii="仿宋" w:hAnsi="仿宋" w:eastAsia="仿宋" w:cs="仿宋"/>
          <w:b w:val="0"/>
          <w:color w:val="000000"/>
          <w:sz w:val="30"/>
          <w:szCs w:val="30"/>
        </w:rPr>
        <w:t>预算数的主要原因是</w:t>
      </w:r>
      <w:r>
        <w:rPr>
          <w:rFonts w:hint="eastAsia" w:ascii="仿宋" w:hAnsi="仿宋" w:eastAsia="仿宋" w:cs="仿宋"/>
          <w:sz w:val="30"/>
          <w:szCs w:val="30"/>
        </w:rPr>
        <w:t>2017年3月由于</w:t>
      </w:r>
      <w:r>
        <w:rPr>
          <w:rFonts w:hint="eastAsia" w:ascii="仿宋" w:hAnsi="仿宋" w:eastAsia="仿宋" w:cs="仿宋"/>
          <w:sz w:val="30"/>
          <w:szCs w:val="30"/>
          <w:lang w:val="en-US" w:eastAsia="zh-CN"/>
        </w:rPr>
        <w:t>在职人员</w:t>
      </w:r>
      <w:r>
        <w:rPr>
          <w:rFonts w:hint="eastAsia" w:ascii="仿宋" w:hAnsi="仿宋" w:eastAsia="仿宋" w:cs="仿宋"/>
          <w:sz w:val="30"/>
          <w:szCs w:val="30"/>
        </w:rPr>
        <w:t>工作变动，正常调出2人，调入1人</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人员减少1人。</w:t>
      </w:r>
    </w:p>
    <w:p>
      <w:pPr>
        <w:spacing w:line="600" w:lineRule="exact"/>
        <w:ind w:firstLine="643" w:firstLineChars="200"/>
        <w:rPr>
          <w:rStyle w:val="5"/>
          <w:rFonts w:hint="eastAsia" w:ascii="仿宋_GB2312" w:eastAsia="仿宋_GB2312"/>
          <w:b w:val="0"/>
          <w:color w:val="000000"/>
          <w:sz w:val="32"/>
          <w:szCs w:val="32"/>
        </w:rPr>
      </w:pPr>
      <w:r>
        <w:rPr>
          <w:rStyle w:val="5"/>
          <w:rFonts w:hint="eastAsia" w:ascii="仿宋_GB2312" w:eastAsia="仿宋_GB2312"/>
          <w:color w:val="000000"/>
          <w:sz w:val="32"/>
          <w:szCs w:val="32"/>
        </w:rPr>
        <w:t>2.社会保障和就业支出（类）行政事业单位离退休（款）机关事业单位基本养老保险缴费支出（项）</w:t>
      </w:r>
      <w:r>
        <w:rPr>
          <w:rStyle w:val="5"/>
          <w:rFonts w:hint="eastAsia" w:ascii="仿宋" w:hAnsi="仿宋" w:eastAsia="仿宋" w:cs="仿宋"/>
          <w:color w:val="000000"/>
          <w:sz w:val="30"/>
          <w:szCs w:val="30"/>
        </w:rPr>
        <w:t>:</w:t>
      </w:r>
      <w:r>
        <w:rPr>
          <w:rStyle w:val="5"/>
          <w:rFonts w:hint="eastAsia" w:ascii="仿宋" w:hAnsi="仿宋" w:eastAsia="仿宋" w:cs="仿宋"/>
          <w:b w:val="0"/>
          <w:color w:val="000000"/>
          <w:sz w:val="30"/>
          <w:szCs w:val="30"/>
        </w:rPr>
        <w:t xml:space="preserve"> 支出决算为</w:t>
      </w:r>
      <w:r>
        <w:rPr>
          <w:rStyle w:val="5"/>
          <w:rFonts w:hint="eastAsia" w:ascii="仿宋" w:hAnsi="仿宋" w:eastAsia="仿宋" w:cs="仿宋"/>
          <w:b w:val="0"/>
          <w:color w:val="000000"/>
          <w:sz w:val="30"/>
          <w:szCs w:val="30"/>
          <w:lang w:val="en-US" w:eastAsia="zh-CN"/>
        </w:rPr>
        <w:t>45.92</w:t>
      </w:r>
      <w:r>
        <w:rPr>
          <w:rStyle w:val="5"/>
          <w:rFonts w:hint="eastAsia" w:ascii="仿宋" w:hAnsi="仿宋" w:eastAsia="仿宋" w:cs="仿宋"/>
          <w:b w:val="0"/>
          <w:color w:val="000000"/>
          <w:sz w:val="30"/>
          <w:szCs w:val="30"/>
        </w:rPr>
        <w:t>万元，</w:t>
      </w:r>
      <w:r>
        <w:rPr>
          <w:rStyle w:val="5"/>
          <w:rFonts w:hint="eastAsia" w:ascii="仿宋_GB2312" w:eastAsia="仿宋_GB2312"/>
          <w:b w:val="0"/>
          <w:color w:val="000000"/>
          <w:sz w:val="32"/>
          <w:szCs w:val="32"/>
        </w:rPr>
        <w:t>完成预算100%</w:t>
      </w:r>
      <w:r>
        <w:rPr>
          <w:rStyle w:val="5"/>
          <w:rFonts w:hint="eastAsia" w:ascii="仿宋_GB2312" w:eastAsia="仿宋_GB2312"/>
          <w:b w:val="0"/>
          <w:color w:val="000000"/>
          <w:sz w:val="32"/>
          <w:szCs w:val="32"/>
          <w:lang w:val="en-US" w:eastAsia="zh-CN"/>
        </w:rPr>
        <w:t>,</w:t>
      </w:r>
      <w:r>
        <w:rPr>
          <w:rStyle w:val="5"/>
          <w:rFonts w:hint="eastAsia" w:ascii="仿宋" w:hAnsi="仿宋" w:eastAsia="仿宋" w:cs="仿宋"/>
          <w:b w:val="0"/>
          <w:color w:val="000000"/>
          <w:sz w:val="30"/>
          <w:szCs w:val="30"/>
        </w:rPr>
        <w:t>决算数</w:t>
      </w:r>
      <w:r>
        <w:rPr>
          <w:rStyle w:val="5"/>
          <w:rFonts w:hint="eastAsia" w:ascii="仿宋" w:hAnsi="仿宋" w:eastAsia="仿宋" w:cs="仿宋"/>
          <w:b w:val="0"/>
          <w:color w:val="000000"/>
          <w:sz w:val="30"/>
          <w:szCs w:val="30"/>
          <w:lang w:eastAsia="zh-CN"/>
        </w:rPr>
        <w:t>与</w:t>
      </w:r>
      <w:r>
        <w:rPr>
          <w:rStyle w:val="5"/>
          <w:rFonts w:hint="eastAsia" w:ascii="仿宋" w:hAnsi="仿宋" w:eastAsia="仿宋" w:cs="仿宋"/>
          <w:b w:val="0"/>
          <w:color w:val="000000"/>
          <w:sz w:val="30"/>
          <w:szCs w:val="30"/>
        </w:rPr>
        <w:t>预算数</w:t>
      </w:r>
      <w:r>
        <w:rPr>
          <w:rStyle w:val="5"/>
          <w:rFonts w:hint="eastAsia" w:ascii="仿宋" w:hAnsi="仿宋" w:eastAsia="仿宋" w:cs="仿宋"/>
          <w:b w:val="0"/>
          <w:color w:val="000000"/>
          <w:sz w:val="30"/>
          <w:szCs w:val="30"/>
          <w:lang w:eastAsia="zh-CN"/>
        </w:rPr>
        <w:t>基本持平</w:t>
      </w:r>
      <w:r>
        <w:rPr>
          <w:rStyle w:val="5"/>
          <w:rFonts w:hint="eastAsia" w:ascii="仿宋" w:hAnsi="仿宋" w:eastAsia="仿宋" w:cs="仿宋"/>
          <w:b w:val="0"/>
          <w:color w:val="000000"/>
          <w:sz w:val="30"/>
          <w:szCs w:val="30"/>
        </w:rPr>
        <w:t>。</w:t>
      </w:r>
    </w:p>
    <w:p>
      <w:pPr>
        <w:spacing w:line="600" w:lineRule="exact"/>
        <w:ind w:firstLine="602" w:firstLineChars="200"/>
        <w:rPr>
          <w:rFonts w:hint="eastAsia" w:ascii="仿宋" w:hAnsi="仿宋" w:eastAsia="仿宋" w:cs="仿宋"/>
          <w:b/>
          <w:color w:val="000000"/>
          <w:sz w:val="30"/>
          <w:szCs w:val="30"/>
        </w:rPr>
      </w:pPr>
    </w:p>
    <w:p>
      <w:pPr>
        <w:spacing w:line="600" w:lineRule="exact"/>
        <w:ind w:firstLine="643" w:firstLineChars="200"/>
        <w:rPr>
          <w:rStyle w:val="5"/>
          <w:rFonts w:hint="eastAsia" w:ascii="仿宋_GB2312" w:eastAsia="仿宋_GB2312"/>
          <w:b w:val="0"/>
          <w:color w:val="000000"/>
          <w:sz w:val="32"/>
          <w:szCs w:val="32"/>
          <w:lang w:val="en-US" w:eastAsia="zh-CN"/>
        </w:rPr>
      </w:pPr>
      <w:r>
        <w:rPr>
          <w:rStyle w:val="5"/>
          <w:rFonts w:hint="eastAsia" w:ascii="仿宋_GB2312" w:eastAsia="仿宋_GB2312"/>
          <w:color w:val="000000"/>
          <w:sz w:val="32"/>
          <w:szCs w:val="32"/>
        </w:rPr>
        <w:t>3.医疗卫生与计划生育支出（类）行政事业单位医疗（款） 事业单位医疗（项）</w:t>
      </w:r>
      <w:r>
        <w:rPr>
          <w:rStyle w:val="5"/>
          <w:rFonts w:hint="eastAsia" w:ascii="仿宋" w:hAnsi="仿宋" w:eastAsia="仿宋" w:cs="仿宋"/>
          <w:color w:val="000000"/>
          <w:sz w:val="30"/>
          <w:szCs w:val="30"/>
        </w:rPr>
        <w:t>:</w:t>
      </w:r>
      <w:r>
        <w:rPr>
          <w:rStyle w:val="5"/>
          <w:rFonts w:hint="eastAsia" w:ascii="仿宋" w:hAnsi="仿宋" w:eastAsia="仿宋" w:cs="仿宋"/>
          <w:b w:val="0"/>
          <w:color w:val="000000"/>
          <w:sz w:val="30"/>
          <w:szCs w:val="30"/>
        </w:rPr>
        <w:t>支出决算为</w:t>
      </w:r>
      <w:r>
        <w:rPr>
          <w:rStyle w:val="5"/>
          <w:rFonts w:hint="eastAsia" w:ascii="仿宋" w:hAnsi="仿宋" w:eastAsia="仿宋" w:cs="仿宋"/>
          <w:b w:val="0"/>
          <w:color w:val="000000"/>
          <w:sz w:val="30"/>
          <w:szCs w:val="30"/>
          <w:lang w:val="en-US" w:eastAsia="zh-CN"/>
        </w:rPr>
        <w:t>18.93</w:t>
      </w:r>
      <w:r>
        <w:rPr>
          <w:rStyle w:val="5"/>
          <w:rFonts w:hint="eastAsia" w:ascii="仿宋" w:hAnsi="仿宋" w:eastAsia="仿宋" w:cs="仿宋"/>
          <w:b w:val="0"/>
          <w:color w:val="000000"/>
          <w:sz w:val="30"/>
          <w:szCs w:val="30"/>
        </w:rPr>
        <w:t>万元，</w:t>
      </w:r>
      <w:r>
        <w:rPr>
          <w:rStyle w:val="5"/>
          <w:rFonts w:hint="eastAsia" w:ascii="仿宋_GB2312" w:eastAsia="仿宋_GB2312"/>
          <w:b w:val="0"/>
          <w:color w:val="000000"/>
          <w:sz w:val="32"/>
          <w:szCs w:val="32"/>
        </w:rPr>
        <w:t>完成预算100%</w:t>
      </w:r>
      <w:r>
        <w:rPr>
          <w:rStyle w:val="5"/>
          <w:rFonts w:hint="eastAsia" w:ascii="仿宋_GB2312" w:eastAsia="仿宋_GB2312"/>
          <w:b w:val="0"/>
          <w:color w:val="000000"/>
          <w:sz w:val="32"/>
          <w:szCs w:val="32"/>
          <w:lang w:val="en-US" w:eastAsia="zh-CN"/>
        </w:rPr>
        <w:t>,</w:t>
      </w:r>
    </w:p>
    <w:p>
      <w:pPr>
        <w:spacing w:line="600" w:lineRule="exact"/>
        <w:rPr>
          <w:rFonts w:hint="eastAsia" w:ascii="仿宋" w:hAnsi="仿宋" w:eastAsia="仿宋" w:cs="仿宋"/>
          <w:b/>
          <w:color w:val="000000"/>
          <w:sz w:val="30"/>
          <w:szCs w:val="30"/>
        </w:rPr>
      </w:pPr>
      <w:r>
        <w:rPr>
          <w:rStyle w:val="5"/>
          <w:rFonts w:hint="eastAsia" w:ascii="仿宋" w:hAnsi="仿宋" w:eastAsia="仿宋" w:cs="仿宋"/>
          <w:b w:val="0"/>
          <w:color w:val="000000"/>
          <w:sz w:val="30"/>
          <w:szCs w:val="30"/>
        </w:rPr>
        <w:t>决算数</w:t>
      </w:r>
      <w:r>
        <w:rPr>
          <w:rStyle w:val="5"/>
          <w:rFonts w:hint="eastAsia" w:ascii="仿宋" w:hAnsi="仿宋" w:eastAsia="仿宋" w:cs="仿宋"/>
          <w:b w:val="0"/>
          <w:color w:val="000000"/>
          <w:sz w:val="30"/>
          <w:szCs w:val="30"/>
          <w:lang w:eastAsia="zh-CN"/>
        </w:rPr>
        <w:t>与</w:t>
      </w:r>
      <w:r>
        <w:rPr>
          <w:rStyle w:val="5"/>
          <w:rFonts w:hint="eastAsia" w:ascii="仿宋" w:hAnsi="仿宋" w:eastAsia="仿宋" w:cs="仿宋"/>
          <w:b w:val="0"/>
          <w:color w:val="000000"/>
          <w:sz w:val="30"/>
          <w:szCs w:val="30"/>
        </w:rPr>
        <w:t>预算数</w:t>
      </w:r>
      <w:r>
        <w:rPr>
          <w:rStyle w:val="5"/>
          <w:rFonts w:hint="eastAsia" w:ascii="仿宋" w:hAnsi="仿宋" w:eastAsia="仿宋" w:cs="仿宋"/>
          <w:b w:val="0"/>
          <w:color w:val="000000"/>
          <w:sz w:val="30"/>
          <w:szCs w:val="30"/>
          <w:lang w:eastAsia="zh-CN"/>
        </w:rPr>
        <w:t>基本持平</w:t>
      </w:r>
      <w:r>
        <w:rPr>
          <w:rStyle w:val="5"/>
          <w:rFonts w:hint="eastAsia" w:ascii="仿宋" w:hAnsi="仿宋" w:eastAsia="仿宋" w:cs="仿宋"/>
          <w:b w:val="0"/>
          <w:color w:val="000000"/>
          <w:sz w:val="30"/>
          <w:szCs w:val="30"/>
        </w:rPr>
        <w:t>。</w:t>
      </w:r>
    </w:p>
    <w:p>
      <w:pPr>
        <w:spacing w:line="600" w:lineRule="exact"/>
        <w:ind w:firstLine="602" w:firstLineChars="200"/>
        <w:rPr>
          <w:rStyle w:val="5"/>
          <w:rFonts w:hint="eastAsia" w:ascii="仿宋" w:hAnsi="仿宋" w:eastAsia="仿宋" w:cs="仿宋"/>
          <w:b w:val="0"/>
          <w:color w:val="000000"/>
          <w:sz w:val="30"/>
          <w:szCs w:val="30"/>
          <w:lang w:val="en-US" w:eastAsia="zh-CN"/>
        </w:rPr>
      </w:pPr>
      <w:r>
        <w:rPr>
          <w:rFonts w:hint="eastAsia" w:ascii="仿宋" w:hAnsi="仿宋" w:eastAsia="仿宋" w:cs="仿宋"/>
          <w:b/>
          <w:bCs/>
          <w:color w:val="000000"/>
          <w:sz w:val="30"/>
          <w:szCs w:val="30"/>
          <w:lang w:val="en-US" w:eastAsia="zh-CN"/>
        </w:rPr>
        <w:t>4.</w:t>
      </w:r>
      <w:r>
        <w:rPr>
          <w:rStyle w:val="5"/>
          <w:rFonts w:hint="eastAsia" w:ascii="仿宋_GB2312" w:eastAsia="仿宋_GB2312"/>
          <w:color w:val="000000"/>
          <w:sz w:val="32"/>
          <w:szCs w:val="32"/>
        </w:rPr>
        <w:t>住房保障支出（类）住房改革支出（款）住房公积金（项）：</w:t>
      </w:r>
      <w:r>
        <w:rPr>
          <w:rFonts w:hint="eastAsia" w:ascii="仿宋" w:hAnsi="仿宋" w:eastAsia="仿宋" w:cs="仿宋"/>
          <w:color w:val="000000"/>
          <w:sz w:val="30"/>
          <w:szCs w:val="30"/>
          <w:lang w:val="en-US" w:eastAsia="zh-CN"/>
        </w:rPr>
        <w:t>支出决算为18.37</w:t>
      </w:r>
      <w:r>
        <w:rPr>
          <w:rStyle w:val="5"/>
          <w:rFonts w:hint="eastAsia" w:ascii="仿宋" w:hAnsi="仿宋" w:eastAsia="仿宋" w:cs="仿宋"/>
          <w:b w:val="0"/>
          <w:color w:val="000000"/>
          <w:sz w:val="30"/>
          <w:szCs w:val="30"/>
        </w:rPr>
        <w:t>万元</w:t>
      </w:r>
      <w:r>
        <w:rPr>
          <w:rStyle w:val="5"/>
          <w:rFonts w:hint="eastAsia" w:ascii="仿宋" w:hAnsi="仿宋" w:eastAsia="仿宋" w:cs="仿宋"/>
          <w:b w:val="0"/>
          <w:color w:val="000000"/>
          <w:sz w:val="30"/>
          <w:szCs w:val="30"/>
          <w:lang w:val="en-US" w:eastAsia="zh-CN"/>
        </w:rPr>
        <w:t>,</w:t>
      </w:r>
      <w:r>
        <w:rPr>
          <w:rStyle w:val="5"/>
          <w:rFonts w:hint="eastAsia" w:ascii="仿宋_GB2312" w:eastAsia="仿宋_GB2312"/>
          <w:b w:val="0"/>
          <w:color w:val="000000"/>
          <w:sz w:val="32"/>
          <w:szCs w:val="32"/>
        </w:rPr>
        <w:t>完成预算100%</w:t>
      </w:r>
      <w:r>
        <w:rPr>
          <w:rStyle w:val="5"/>
          <w:rFonts w:hint="eastAsia" w:ascii="仿宋_GB2312" w:eastAsia="仿宋_GB2312"/>
          <w:b w:val="0"/>
          <w:color w:val="000000"/>
          <w:sz w:val="32"/>
          <w:szCs w:val="32"/>
          <w:lang w:val="en-US" w:eastAsia="zh-CN"/>
        </w:rPr>
        <w:t>,</w:t>
      </w:r>
      <w:r>
        <w:rPr>
          <w:rStyle w:val="5"/>
          <w:rFonts w:hint="eastAsia" w:ascii="仿宋" w:hAnsi="仿宋" w:eastAsia="仿宋" w:cs="仿宋"/>
          <w:b w:val="0"/>
          <w:color w:val="000000"/>
          <w:sz w:val="30"/>
          <w:szCs w:val="30"/>
        </w:rPr>
        <w:t>决算数</w:t>
      </w:r>
      <w:r>
        <w:rPr>
          <w:rStyle w:val="5"/>
          <w:rFonts w:hint="eastAsia" w:ascii="仿宋" w:hAnsi="仿宋" w:eastAsia="仿宋" w:cs="仿宋"/>
          <w:b w:val="0"/>
          <w:color w:val="000000"/>
          <w:sz w:val="30"/>
          <w:szCs w:val="30"/>
          <w:lang w:eastAsia="zh-CN"/>
        </w:rPr>
        <w:t>与</w:t>
      </w:r>
      <w:r>
        <w:rPr>
          <w:rStyle w:val="5"/>
          <w:rFonts w:hint="eastAsia" w:ascii="仿宋" w:hAnsi="仿宋" w:eastAsia="仿宋" w:cs="仿宋"/>
          <w:b w:val="0"/>
          <w:color w:val="000000"/>
          <w:sz w:val="30"/>
          <w:szCs w:val="30"/>
        </w:rPr>
        <w:t>预算数</w:t>
      </w:r>
      <w:r>
        <w:rPr>
          <w:rStyle w:val="5"/>
          <w:rFonts w:hint="eastAsia" w:ascii="仿宋" w:hAnsi="仿宋" w:eastAsia="仿宋" w:cs="仿宋"/>
          <w:b w:val="0"/>
          <w:color w:val="000000"/>
          <w:sz w:val="30"/>
          <w:szCs w:val="30"/>
          <w:lang w:eastAsia="zh-CN"/>
        </w:rPr>
        <w:t>基本持平</w:t>
      </w:r>
      <w:r>
        <w:rPr>
          <w:rStyle w:val="5"/>
          <w:rFonts w:hint="eastAsia" w:ascii="仿宋" w:hAnsi="仿宋" w:eastAsia="仿宋" w:cs="仿宋"/>
          <w:b w:val="0"/>
          <w:color w:val="000000"/>
          <w:sz w:val="30"/>
          <w:szCs w:val="30"/>
          <w:lang w:val="en-US" w:eastAsia="zh-CN"/>
        </w:rPr>
        <w:t>。</w:t>
      </w:r>
    </w:p>
    <w:p>
      <w:pPr>
        <w:spacing w:line="600" w:lineRule="exact"/>
        <w:ind w:firstLine="640"/>
        <w:rPr>
          <w:rFonts w:hint="eastAsia" w:ascii="黑体" w:hAnsi="黑体" w:eastAsia="黑体" w:cs="黑体"/>
          <w:b/>
          <w:bCs/>
          <w:color w:val="000000"/>
          <w:sz w:val="30"/>
          <w:szCs w:val="30"/>
        </w:rPr>
      </w:pPr>
      <w:r>
        <w:rPr>
          <w:rFonts w:hint="eastAsia" w:ascii="黑体" w:hAnsi="黑体" w:eastAsia="黑体" w:cs="黑体"/>
          <w:b/>
          <w:bCs/>
          <w:color w:val="000000"/>
          <w:sz w:val="30"/>
          <w:szCs w:val="30"/>
          <w:lang w:val="en-US" w:eastAsia="zh-CN"/>
        </w:rPr>
        <w:t>六</w:t>
      </w:r>
      <w:r>
        <w:rPr>
          <w:rFonts w:hint="eastAsia" w:ascii="黑体" w:hAnsi="黑体" w:eastAsia="黑体" w:cs="黑体"/>
          <w:b/>
          <w:bCs/>
          <w:color w:val="000000"/>
          <w:sz w:val="30"/>
          <w:szCs w:val="30"/>
        </w:rPr>
        <w:t>、一般公共预算财政拨款基本支出决算情况说明</w:t>
      </w:r>
    </w:p>
    <w:p>
      <w:pPr>
        <w:spacing w:line="600" w:lineRule="exact"/>
        <w:ind w:firstLine="645"/>
        <w:rPr>
          <w:rFonts w:hint="eastAsia" w:ascii="仿宋" w:hAnsi="仿宋" w:eastAsia="仿宋" w:cs="仿宋"/>
          <w:color w:val="000000"/>
          <w:sz w:val="30"/>
          <w:szCs w:val="30"/>
        </w:rPr>
      </w:pPr>
      <w:r>
        <w:rPr>
          <w:rFonts w:hint="eastAsia" w:ascii="仿宋" w:hAnsi="仿宋" w:eastAsia="仿宋" w:cs="仿宋"/>
          <w:color w:val="000000"/>
          <w:sz w:val="30"/>
          <w:szCs w:val="30"/>
        </w:rPr>
        <w:t>2017年度本部门一般公共预算财政拨款基本支出</w:t>
      </w:r>
      <w:r>
        <w:rPr>
          <w:rFonts w:hint="eastAsia" w:ascii="仿宋" w:hAnsi="仿宋" w:eastAsia="仿宋" w:cs="仿宋"/>
          <w:color w:val="000000"/>
          <w:sz w:val="30"/>
          <w:szCs w:val="30"/>
          <w:lang w:val="en-US" w:eastAsia="zh-CN"/>
        </w:rPr>
        <w:t>416.81</w:t>
      </w:r>
      <w:r>
        <w:rPr>
          <w:rFonts w:hint="eastAsia" w:ascii="仿宋" w:hAnsi="仿宋" w:eastAsia="仿宋" w:cs="仿宋"/>
          <w:color w:val="000000"/>
          <w:sz w:val="30"/>
          <w:szCs w:val="30"/>
        </w:rPr>
        <w:t>万元，其中：</w:t>
      </w:r>
    </w:p>
    <w:bookmarkEnd w:id="2"/>
    <w:p>
      <w:pPr>
        <w:spacing w:line="600" w:lineRule="exact"/>
        <w:ind w:firstLine="645"/>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rPr>
        <w:t>人员经费</w:t>
      </w:r>
      <w:r>
        <w:rPr>
          <w:rFonts w:hint="eastAsia" w:ascii="仿宋" w:hAnsi="仿宋" w:eastAsia="仿宋" w:cs="仿宋"/>
          <w:color w:val="000000"/>
          <w:sz w:val="30"/>
          <w:szCs w:val="30"/>
          <w:lang w:val="en-US" w:eastAsia="zh-CN"/>
        </w:rPr>
        <w:t>387.74</w:t>
      </w:r>
      <w:r>
        <w:rPr>
          <w:rFonts w:hint="eastAsia" w:ascii="仿宋" w:hAnsi="仿宋" w:eastAsia="仿宋" w:cs="仿宋"/>
          <w:color w:val="000000"/>
          <w:sz w:val="30"/>
          <w:szCs w:val="30"/>
        </w:rPr>
        <w:t>万元，主要包括：基本工资</w:t>
      </w:r>
      <w:r>
        <w:rPr>
          <w:rFonts w:hint="eastAsia" w:ascii="仿宋" w:hAnsi="仿宋" w:eastAsia="仿宋" w:cs="仿宋"/>
          <w:color w:val="000000"/>
          <w:sz w:val="30"/>
          <w:szCs w:val="30"/>
          <w:lang w:val="en-US" w:eastAsia="zh-CN"/>
        </w:rPr>
        <w:t>133.46</w:t>
      </w:r>
      <w:r>
        <w:rPr>
          <w:rFonts w:hint="eastAsia" w:ascii="仿宋" w:hAnsi="仿宋" w:eastAsia="仿宋" w:cs="仿宋"/>
          <w:color w:val="000000"/>
          <w:sz w:val="30"/>
          <w:szCs w:val="30"/>
        </w:rPr>
        <w:t>万元、津贴补贴</w:t>
      </w:r>
      <w:r>
        <w:rPr>
          <w:rFonts w:hint="eastAsia" w:ascii="仿宋" w:hAnsi="仿宋" w:eastAsia="仿宋" w:cs="仿宋"/>
          <w:color w:val="000000"/>
          <w:sz w:val="30"/>
          <w:szCs w:val="30"/>
          <w:lang w:val="en-US" w:eastAsia="zh-CN"/>
        </w:rPr>
        <w:t>5.81</w:t>
      </w:r>
      <w:r>
        <w:rPr>
          <w:rFonts w:hint="eastAsia" w:ascii="仿宋" w:hAnsi="仿宋" w:eastAsia="仿宋" w:cs="仿宋"/>
          <w:color w:val="000000"/>
          <w:sz w:val="30"/>
          <w:szCs w:val="30"/>
        </w:rPr>
        <w:t>万元、绩效工资</w:t>
      </w:r>
      <w:r>
        <w:rPr>
          <w:rFonts w:hint="eastAsia" w:ascii="仿宋" w:hAnsi="仿宋" w:eastAsia="仿宋" w:cs="仿宋"/>
          <w:color w:val="000000"/>
          <w:sz w:val="30"/>
          <w:szCs w:val="30"/>
          <w:lang w:val="en-US" w:eastAsia="zh-CN"/>
        </w:rPr>
        <w:t>70.22</w:t>
      </w:r>
      <w:r>
        <w:rPr>
          <w:rFonts w:hint="eastAsia" w:ascii="仿宋" w:hAnsi="仿宋" w:eastAsia="仿宋" w:cs="仿宋"/>
          <w:color w:val="000000"/>
          <w:sz w:val="30"/>
          <w:szCs w:val="30"/>
        </w:rPr>
        <w:t>万元、机关事业单位基本养老保险缴费</w:t>
      </w:r>
      <w:r>
        <w:rPr>
          <w:rFonts w:hint="eastAsia" w:ascii="仿宋" w:hAnsi="仿宋" w:eastAsia="仿宋" w:cs="仿宋"/>
          <w:color w:val="000000"/>
          <w:sz w:val="30"/>
          <w:szCs w:val="30"/>
          <w:lang w:val="en-US" w:eastAsia="zh-CN"/>
        </w:rPr>
        <w:t>45.92</w:t>
      </w:r>
      <w:r>
        <w:rPr>
          <w:rFonts w:hint="eastAsia" w:ascii="仿宋" w:hAnsi="仿宋" w:eastAsia="仿宋" w:cs="仿宋"/>
          <w:color w:val="000000"/>
          <w:sz w:val="30"/>
          <w:szCs w:val="30"/>
        </w:rPr>
        <w:t>万元、其他工资福利支出</w:t>
      </w:r>
      <w:r>
        <w:rPr>
          <w:rFonts w:hint="eastAsia" w:ascii="仿宋" w:hAnsi="仿宋" w:eastAsia="仿宋" w:cs="仿宋"/>
          <w:color w:val="000000"/>
          <w:sz w:val="30"/>
          <w:szCs w:val="30"/>
          <w:lang w:val="en-US" w:eastAsia="zh-CN"/>
        </w:rPr>
        <w:t>84.06</w:t>
      </w:r>
      <w:r>
        <w:rPr>
          <w:rFonts w:hint="eastAsia" w:ascii="仿宋" w:hAnsi="仿宋" w:eastAsia="仿宋" w:cs="仿宋"/>
          <w:color w:val="000000"/>
          <w:sz w:val="30"/>
          <w:szCs w:val="30"/>
        </w:rPr>
        <w:t>万元、医疗卫生支出</w:t>
      </w:r>
      <w:r>
        <w:rPr>
          <w:rFonts w:hint="eastAsia" w:ascii="仿宋" w:hAnsi="仿宋" w:eastAsia="仿宋" w:cs="仿宋"/>
          <w:color w:val="000000"/>
          <w:sz w:val="30"/>
          <w:szCs w:val="30"/>
          <w:lang w:val="en-US" w:eastAsia="zh-CN"/>
        </w:rPr>
        <w:t>29.26</w:t>
      </w:r>
      <w:r>
        <w:rPr>
          <w:rFonts w:hint="eastAsia" w:ascii="仿宋" w:hAnsi="仿宋" w:eastAsia="仿宋" w:cs="仿宋"/>
          <w:color w:val="000000"/>
          <w:sz w:val="30"/>
          <w:szCs w:val="30"/>
        </w:rPr>
        <w:t>万元</w:t>
      </w:r>
      <w:r>
        <w:rPr>
          <w:rFonts w:hint="eastAsia" w:ascii="仿宋" w:hAnsi="仿宋" w:eastAsia="仿宋" w:cs="仿宋"/>
          <w:color w:val="000000"/>
          <w:sz w:val="30"/>
          <w:szCs w:val="30"/>
          <w:lang w:val="en-US" w:eastAsia="zh-CN"/>
        </w:rPr>
        <w:t>;</w:t>
      </w:r>
      <w:r>
        <w:rPr>
          <w:rFonts w:hint="eastAsia" w:ascii="仿宋" w:hAnsi="仿宋" w:eastAsia="仿宋" w:cs="仿宋"/>
          <w:color w:val="000000"/>
          <w:sz w:val="30"/>
          <w:szCs w:val="30"/>
          <w:lang w:eastAsia="zh-CN"/>
        </w:rPr>
        <w:t>对个人和家庭的补助</w:t>
      </w:r>
      <w:r>
        <w:rPr>
          <w:rFonts w:hint="eastAsia" w:ascii="仿宋" w:hAnsi="仿宋" w:eastAsia="仿宋" w:cs="仿宋"/>
          <w:color w:val="000000"/>
          <w:sz w:val="30"/>
          <w:szCs w:val="30"/>
          <w:lang w:val="en-US" w:eastAsia="zh-CN"/>
        </w:rPr>
        <w:t>19.01万元。（主要包括：助学金0.24万、奖励金0.08万元、住房公积金18.37万元，其它对个人和家庭的补助支出0.32万元）</w:t>
      </w:r>
    </w:p>
    <w:p>
      <w:pPr>
        <w:spacing w:line="60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w:t>
      </w: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公用经费</w:t>
      </w:r>
      <w:r>
        <w:rPr>
          <w:rFonts w:hint="eastAsia" w:ascii="仿宋" w:hAnsi="仿宋" w:eastAsia="仿宋" w:cs="仿宋"/>
          <w:color w:val="000000"/>
          <w:sz w:val="30"/>
          <w:szCs w:val="30"/>
          <w:lang w:val="en-US" w:eastAsia="zh-CN"/>
        </w:rPr>
        <w:t>26.95</w:t>
      </w:r>
      <w:r>
        <w:rPr>
          <w:rFonts w:hint="eastAsia" w:ascii="仿宋" w:hAnsi="仿宋" w:eastAsia="仿宋" w:cs="仿宋"/>
          <w:color w:val="000000"/>
          <w:sz w:val="30"/>
          <w:szCs w:val="30"/>
        </w:rPr>
        <w:t>万元，主要包括：办公费</w:t>
      </w:r>
      <w:r>
        <w:rPr>
          <w:rFonts w:hint="eastAsia" w:ascii="仿宋" w:hAnsi="仿宋" w:eastAsia="仿宋" w:cs="仿宋"/>
          <w:color w:val="000000"/>
          <w:sz w:val="30"/>
          <w:szCs w:val="30"/>
          <w:lang w:val="en-US" w:eastAsia="zh-CN"/>
        </w:rPr>
        <w:t>3.28</w:t>
      </w:r>
      <w:r>
        <w:rPr>
          <w:rFonts w:hint="eastAsia" w:ascii="仿宋" w:hAnsi="仿宋" w:eastAsia="仿宋" w:cs="仿宋"/>
          <w:color w:val="000000"/>
          <w:sz w:val="30"/>
          <w:szCs w:val="30"/>
        </w:rPr>
        <w:t>万元、水费</w:t>
      </w:r>
      <w:r>
        <w:rPr>
          <w:rFonts w:hint="eastAsia" w:ascii="仿宋" w:hAnsi="仿宋" w:eastAsia="仿宋" w:cs="仿宋"/>
          <w:color w:val="000000"/>
          <w:sz w:val="30"/>
          <w:szCs w:val="30"/>
          <w:lang w:val="en-US" w:eastAsia="zh-CN"/>
        </w:rPr>
        <w:t>0.74</w:t>
      </w:r>
      <w:r>
        <w:rPr>
          <w:rFonts w:hint="eastAsia" w:ascii="仿宋" w:hAnsi="仿宋" w:eastAsia="仿宋" w:cs="仿宋"/>
          <w:color w:val="000000"/>
          <w:sz w:val="30"/>
          <w:szCs w:val="30"/>
        </w:rPr>
        <w:t>万元、电费</w:t>
      </w:r>
      <w:r>
        <w:rPr>
          <w:rFonts w:hint="eastAsia" w:ascii="仿宋" w:hAnsi="仿宋" w:eastAsia="仿宋" w:cs="仿宋"/>
          <w:color w:val="000000"/>
          <w:sz w:val="30"/>
          <w:szCs w:val="30"/>
          <w:lang w:val="en-US" w:eastAsia="zh-CN"/>
        </w:rPr>
        <w:t>0.85</w:t>
      </w:r>
      <w:r>
        <w:rPr>
          <w:rFonts w:hint="eastAsia" w:ascii="仿宋" w:hAnsi="仿宋" w:eastAsia="仿宋" w:cs="仿宋"/>
          <w:color w:val="000000"/>
          <w:sz w:val="30"/>
          <w:szCs w:val="30"/>
        </w:rPr>
        <w:t>万元、邮电费</w:t>
      </w:r>
      <w:r>
        <w:rPr>
          <w:rFonts w:hint="eastAsia" w:ascii="仿宋" w:hAnsi="仿宋" w:eastAsia="仿宋" w:cs="仿宋"/>
          <w:color w:val="000000"/>
          <w:sz w:val="30"/>
          <w:szCs w:val="30"/>
          <w:lang w:val="en-US" w:eastAsia="zh-CN"/>
        </w:rPr>
        <w:t>0.14</w:t>
      </w:r>
      <w:r>
        <w:rPr>
          <w:rFonts w:hint="eastAsia" w:ascii="仿宋" w:hAnsi="仿宋" w:eastAsia="仿宋" w:cs="仿宋"/>
          <w:color w:val="000000"/>
          <w:sz w:val="30"/>
          <w:szCs w:val="30"/>
        </w:rPr>
        <w:t>万元、物业管理费</w:t>
      </w:r>
      <w:r>
        <w:rPr>
          <w:rFonts w:hint="eastAsia" w:ascii="仿宋" w:hAnsi="仿宋" w:eastAsia="仿宋" w:cs="仿宋"/>
          <w:color w:val="000000"/>
          <w:sz w:val="30"/>
          <w:szCs w:val="30"/>
          <w:lang w:val="en-US" w:eastAsia="zh-CN"/>
        </w:rPr>
        <w:t>0.19</w:t>
      </w:r>
      <w:r>
        <w:rPr>
          <w:rFonts w:hint="eastAsia" w:ascii="仿宋" w:hAnsi="仿宋" w:eastAsia="仿宋" w:cs="仿宋"/>
          <w:color w:val="000000"/>
          <w:sz w:val="30"/>
          <w:szCs w:val="30"/>
        </w:rPr>
        <w:t>万元、维修（护）费</w:t>
      </w:r>
      <w:r>
        <w:rPr>
          <w:rFonts w:hint="eastAsia" w:ascii="仿宋" w:hAnsi="仿宋" w:eastAsia="仿宋" w:cs="仿宋"/>
          <w:color w:val="000000"/>
          <w:sz w:val="30"/>
          <w:szCs w:val="30"/>
          <w:lang w:val="en-US" w:eastAsia="zh-CN"/>
        </w:rPr>
        <w:t>0.93</w:t>
      </w:r>
      <w:r>
        <w:rPr>
          <w:rFonts w:hint="eastAsia" w:ascii="仿宋" w:hAnsi="仿宋" w:eastAsia="仿宋" w:cs="仿宋"/>
          <w:color w:val="000000"/>
          <w:sz w:val="30"/>
          <w:szCs w:val="30"/>
        </w:rPr>
        <w:t>万元、培训费</w:t>
      </w:r>
      <w:r>
        <w:rPr>
          <w:rFonts w:hint="eastAsia" w:ascii="仿宋" w:hAnsi="仿宋" w:eastAsia="仿宋" w:cs="仿宋"/>
          <w:color w:val="000000"/>
          <w:sz w:val="30"/>
          <w:szCs w:val="30"/>
          <w:lang w:val="en-US" w:eastAsia="zh-CN"/>
        </w:rPr>
        <w:t>0.13</w:t>
      </w:r>
      <w:r>
        <w:rPr>
          <w:rFonts w:hint="eastAsia" w:ascii="仿宋" w:hAnsi="仿宋" w:eastAsia="仿宋" w:cs="仿宋"/>
          <w:color w:val="000000"/>
          <w:sz w:val="30"/>
          <w:szCs w:val="30"/>
        </w:rPr>
        <w:t>万元、</w:t>
      </w:r>
      <w:r>
        <w:rPr>
          <w:rFonts w:hint="eastAsia" w:ascii="仿宋" w:hAnsi="仿宋" w:eastAsia="仿宋" w:cs="仿宋"/>
          <w:color w:val="000000"/>
          <w:sz w:val="30"/>
          <w:szCs w:val="30"/>
          <w:lang w:val="en-US" w:eastAsia="zh-CN"/>
        </w:rPr>
        <w:t>劳务费1.16万元、</w:t>
      </w:r>
      <w:r>
        <w:rPr>
          <w:rFonts w:hint="eastAsia" w:ascii="仿宋" w:hAnsi="仿宋" w:eastAsia="仿宋" w:cs="仿宋"/>
          <w:color w:val="000000"/>
          <w:sz w:val="30"/>
          <w:szCs w:val="30"/>
        </w:rPr>
        <w:t>工会经费</w:t>
      </w:r>
      <w:r>
        <w:rPr>
          <w:rFonts w:hint="eastAsia" w:ascii="仿宋" w:hAnsi="仿宋" w:eastAsia="仿宋" w:cs="仿宋"/>
          <w:color w:val="000000"/>
          <w:sz w:val="30"/>
          <w:szCs w:val="30"/>
          <w:lang w:val="en-US" w:eastAsia="zh-CN"/>
        </w:rPr>
        <w:t>2.46</w:t>
      </w:r>
      <w:r>
        <w:rPr>
          <w:rFonts w:hint="eastAsia" w:ascii="仿宋" w:hAnsi="仿宋" w:eastAsia="仿宋" w:cs="仿宋"/>
          <w:color w:val="000000"/>
          <w:sz w:val="30"/>
          <w:szCs w:val="30"/>
        </w:rPr>
        <w:t>万元、</w:t>
      </w:r>
      <w:r>
        <w:rPr>
          <w:rFonts w:hint="eastAsia" w:ascii="仿宋" w:hAnsi="仿宋" w:eastAsia="仿宋" w:cs="仿宋"/>
          <w:color w:val="000000"/>
          <w:sz w:val="30"/>
          <w:szCs w:val="30"/>
          <w:lang w:val="en-US" w:eastAsia="zh-CN"/>
        </w:rPr>
        <w:t>福利费3.85万元、</w:t>
      </w:r>
      <w:r>
        <w:rPr>
          <w:rFonts w:hint="eastAsia" w:ascii="仿宋" w:hAnsi="仿宋" w:eastAsia="仿宋" w:cs="仿宋"/>
          <w:color w:val="000000"/>
          <w:sz w:val="30"/>
          <w:szCs w:val="30"/>
        </w:rPr>
        <w:t>其他商品和服务支出</w:t>
      </w:r>
      <w:r>
        <w:rPr>
          <w:rFonts w:hint="eastAsia" w:ascii="仿宋" w:hAnsi="仿宋" w:eastAsia="仿宋" w:cs="仿宋"/>
          <w:color w:val="000000"/>
          <w:sz w:val="30"/>
          <w:szCs w:val="30"/>
          <w:lang w:val="en-US" w:eastAsia="zh-CN"/>
        </w:rPr>
        <w:t>5.63</w:t>
      </w:r>
      <w:r>
        <w:rPr>
          <w:rFonts w:hint="eastAsia" w:ascii="仿宋" w:hAnsi="仿宋" w:eastAsia="仿宋" w:cs="仿宋"/>
          <w:color w:val="000000"/>
          <w:sz w:val="30"/>
          <w:szCs w:val="30"/>
        </w:rPr>
        <w:t>万元、</w:t>
      </w:r>
      <w:r>
        <w:rPr>
          <w:rFonts w:hint="eastAsia" w:ascii="仿宋" w:hAnsi="仿宋" w:eastAsia="仿宋" w:cs="仿宋"/>
          <w:color w:val="000000"/>
          <w:sz w:val="30"/>
          <w:szCs w:val="30"/>
          <w:lang w:eastAsia="zh-CN"/>
        </w:rPr>
        <w:t>专用材料费</w:t>
      </w:r>
      <w:r>
        <w:rPr>
          <w:rFonts w:hint="eastAsia" w:ascii="仿宋" w:hAnsi="仿宋" w:eastAsia="仿宋" w:cs="仿宋"/>
          <w:color w:val="000000"/>
          <w:sz w:val="30"/>
          <w:szCs w:val="30"/>
          <w:lang w:val="en-US" w:eastAsia="zh-CN"/>
        </w:rPr>
        <w:t>7.59</w:t>
      </w:r>
      <w:r>
        <w:rPr>
          <w:rFonts w:hint="eastAsia" w:ascii="仿宋" w:hAnsi="仿宋" w:eastAsia="仿宋" w:cs="仿宋"/>
          <w:color w:val="000000"/>
          <w:sz w:val="30"/>
          <w:szCs w:val="30"/>
        </w:rPr>
        <w:t>万元</w:t>
      </w:r>
      <w:r>
        <w:rPr>
          <w:rFonts w:hint="eastAsia" w:ascii="仿宋" w:hAnsi="仿宋" w:eastAsia="仿宋" w:cs="仿宋"/>
          <w:color w:val="000000"/>
          <w:sz w:val="30"/>
          <w:szCs w:val="30"/>
          <w:lang w:val="en-US" w:eastAsia="zh-CN"/>
        </w:rPr>
        <w:t>。</w:t>
      </w:r>
    </w:p>
    <w:p>
      <w:pPr>
        <w:spacing w:line="600" w:lineRule="exact"/>
        <w:ind w:firstLine="645"/>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其它资本性支出2.12万元，主要包括：专用设备购置2.12万元。</w:t>
      </w:r>
    </w:p>
    <w:p>
      <w:pPr>
        <w:spacing w:line="600" w:lineRule="exact"/>
        <w:ind w:firstLine="640"/>
        <w:rPr>
          <w:rFonts w:hint="eastAsia" w:ascii="黑体" w:hAnsi="黑体" w:eastAsia="黑体" w:cs="黑体"/>
          <w:color w:val="000000"/>
          <w:sz w:val="32"/>
          <w:szCs w:val="32"/>
        </w:rPr>
      </w:pPr>
      <w:r>
        <w:rPr>
          <w:rFonts w:hint="eastAsia" w:ascii="黑体" w:hAnsi="黑体" w:eastAsia="黑体" w:cs="黑体"/>
          <w:color w:val="000000"/>
          <w:sz w:val="32"/>
          <w:szCs w:val="32"/>
          <w:lang w:val="en-US" w:eastAsia="zh-CN"/>
        </w:rPr>
        <w:t>七</w:t>
      </w:r>
      <w:r>
        <w:rPr>
          <w:rFonts w:hint="eastAsia" w:ascii="黑体" w:hAnsi="黑体" w:eastAsia="黑体" w:cs="黑体"/>
          <w:color w:val="000000"/>
          <w:sz w:val="32"/>
          <w:szCs w:val="32"/>
        </w:rPr>
        <w:t>、“三公”经费财政拨款支出决算情况说明</w:t>
      </w:r>
    </w:p>
    <w:p>
      <w:pPr>
        <w:spacing w:line="600" w:lineRule="exact"/>
        <w:ind w:firstLine="640"/>
        <w:rPr>
          <w:rFonts w:hint="eastAsia" w:ascii="仿宋" w:hAnsi="仿宋" w:eastAsia="仿宋" w:cs="仿宋"/>
          <w:b/>
          <w:color w:val="000000"/>
          <w:sz w:val="32"/>
          <w:szCs w:val="32"/>
        </w:rPr>
      </w:pPr>
      <w:r>
        <w:rPr>
          <w:rFonts w:hint="eastAsia" w:ascii="仿宋" w:hAnsi="仿宋" w:eastAsia="仿宋" w:cs="仿宋"/>
          <w:b/>
          <w:color w:val="000000"/>
          <w:sz w:val="32"/>
          <w:szCs w:val="32"/>
        </w:rPr>
        <w:t>（一）“三公”经费财政拨款支出决算总体情况说明</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2017年本部门“三公”经费财政拨款支出决算为</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万元，完成预算</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%，决算数与预算数持平</w:t>
      </w:r>
    </w:p>
    <w:p>
      <w:pPr>
        <w:spacing w:line="600" w:lineRule="exact"/>
        <w:ind w:firstLine="640"/>
        <w:rPr>
          <w:rFonts w:hint="eastAsia" w:ascii="仿宋" w:hAnsi="仿宋" w:eastAsia="仿宋" w:cs="仿宋"/>
          <w:b/>
          <w:color w:val="000000"/>
          <w:sz w:val="32"/>
          <w:szCs w:val="32"/>
        </w:rPr>
      </w:pPr>
      <w:r>
        <w:rPr>
          <w:rFonts w:hint="eastAsia" w:ascii="仿宋" w:hAnsi="仿宋" w:eastAsia="仿宋" w:cs="仿宋"/>
          <w:b/>
          <w:color w:val="000000"/>
          <w:sz w:val="32"/>
          <w:szCs w:val="32"/>
        </w:rPr>
        <w:t>（二）“三公”经费财政拨款支出决算具体情况说明</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2017年度本部门“三公”经费财政拨款支出决算中，因公出国（境）费支出决算</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万元，占</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%；公务用车购置及运行维护费支出决算</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万元，占</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%；公务接待费支出决算</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万元，占</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%。具体情况如下：</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b/>
          <w:color w:val="000000"/>
          <w:sz w:val="32"/>
          <w:szCs w:val="32"/>
        </w:rPr>
        <w:t>1.因公出国（境）经费支出</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万元。全年安排因公出国（境）团组</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次，出国（境）</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人。开支内容包括：（团组名称、出访地点、取得成效）等。</w:t>
      </w:r>
    </w:p>
    <w:p>
      <w:pPr>
        <w:spacing w:line="600" w:lineRule="exact"/>
        <w:ind w:firstLine="640"/>
        <w:rPr>
          <w:rFonts w:hint="eastAsia" w:ascii="仿宋" w:hAnsi="仿宋" w:eastAsia="仿宋" w:cs="仿宋"/>
          <w:b/>
          <w:color w:val="000000"/>
          <w:sz w:val="32"/>
          <w:szCs w:val="32"/>
          <w:lang w:val="en-US" w:eastAsia="zh-CN"/>
        </w:rPr>
      </w:pPr>
      <w:r>
        <w:rPr>
          <w:rFonts w:hint="eastAsia" w:ascii="仿宋" w:hAnsi="仿宋" w:eastAsia="仿宋" w:cs="仿宋"/>
          <w:color w:val="000000"/>
          <w:sz w:val="32"/>
          <w:szCs w:val="32"/>
        </w:rPr>
        <w:t>因公出国（境）支出决算</w:t>
      </w:r>
      <w:r>
        <w:rPr>
          <w:rFonts w:hint="eastAsia" w:ascii="仿宋" w:hAnsi="仿宋" w:eastAsia="仿宋" w:cs="仿宋"/>
          <w:color w:val="000000"/>
          <w:sz w:val="32"/>
          <w:szCs w:val="32"/>
          <w:lang w:val="en-US" w:eastAsia="zh-CN"/>
        </w:rPr>
        <w:t>与</w:t>
      </w:r>
      <w:r>
        <w:rPr>
          <w:rFonts w:hint="eastAsia" w:ascii="仿宋" w:hAnsi="仿宋" w:eastAsia="仿宋" w:cs="仿宋"/>
          <w:color w:val="000000"/>
          <w:sz w:val="32"/>
          <w:szCs w:val="32"/>
        </w:rPr>
        <w:t>2016年</w:t>
      </w:r>
      <w:r>
        <w:rPr>
          <w:rFonts w:hint="eastAsia" w:ascii="仿宋" w:hAnsi="仿宋" w:eastAsia="仿宋" w:cs="仿宋"/>
          <w:color w:val="000000"/>
          <w:sz w:val="32"/>
          <w:szCs w:val="32"/>
          <w:lang w:val="en-US" w:eastAsia="zh-CN"/>
        </w:rPr>
        <w:t>持平。</w:t>
      </w:r>
    </w:p>
    <w:p>
      <w:pPr>
        <w:spacing w:line="600" w:lineRule="exact"/>
        <w:ind w:firstLine="643" w:firstLineChars="200"/>
        <w:rPr>
          <w:rFonts w:hint="eastAsia" w:ascii="仿宋" w:hAnsi="仿宋" w:eastAsia="仿宋" w:cs="仿宋"/>
          <w:color w:val="000000"/>
          <w:sz w:val="32"/>
          <w:szCs w:val="32"/>
        </w:rPr>
      </w:pPr>
      <w:r>
        <w:rPr>
          <w:rFonts w:hint="eastAsia" w:ascii="仿宋" w:hAnsi="仿宋" w:eastAsia="仿宋" w:cs="仿宋"/>
          <w:b/>
          <w:color w:val="000000"/>
          <w:sz w:val="32"/>
          <w:szCs w:val="32"/>
        </w:rPr>
        <w:t>2.公务用车购置及运行维护费支出</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万元。其中：</w:t>
      </w:r>
    </w:p>
    <w:p>
      <w:pPr>
        <w:spacing w:line="600" w:lineRule="exact"/>
        <w:ind w:firstLine="643" w:firstLineChars="200"/>
        <w:rPr>
          <w:rFonts w:hint="eastAsia" w:ascii="仿宋" w:hAnsi="仿宋" w:eastAsia="仿宋" w:cs="仿宋"/>
          <w:b/>
          <w:color w:val="000000"/>
          <w:sz w:val="32"/>
          <w:szCs w:val="32"/>
        </w:rPr>
      </w:pPr>
      <w:r>
        <w:rPr>
          <w:rFonts w:hint="eastAsia" w:ascii="仿宋" w:hAnsi="仿宋" w:eastAsia="仿宋" w:cs="仿宋"/>
          <w:b/>
          <w:color w:val="000000"/>
          <w:sz w:val="32"/>
          <w:szCs w:val="32"/>
        </w:rPr>
        <w:t>公务用车购置支出</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万元。全年按规定更新购置公务用车</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辆，其中：轿车</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辆、金额</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万元，越野车</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辆、金额</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万元，载客汽车</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辆、金额</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万元。截至2017年12月底，单位共有公务用车</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辆，其中：轿车</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辆、越野车</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辆、载客汽车</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辆。</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b/>
          <w:color w:val="000000"/>
          <w:sz w:val="32"/>
          <w:szCs w:val="32"/>
        </w:rPr>
        <w:t>公务用车运行维护费支出</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万元。（具体工作）等所需的公务用车燃料费、维修费、过路过桥费、保险费等支出。</w:t>
      </w:r>
    </w:p>
    <w:p>
      <w:pPr>
        <w:spacing w:line="600" w:lineRule="exact"/>
        <w:ind w:firstLine="640"/>
        <w:rPr>
          <w:rFonts w:hint="eastAsia" w:ascii="仿宋" w:hAnsi="仿宋" w:eastAsia="仿宋" w:cs="仿宋"/>
          <w:b/>
          <w:color w:val="000000"/>
          <w:sz w:val="32"/>
          <w:szCs w:val="32"/>
          <w:lang w:val="en-US" w:eastAsia="zh-CN"/>
        </w:rPr>
      </w:pPr>
      <w:r>
        <w:rPr>
          <w:rFonts w:hint="eastAsia" w:ascii="仿宋" w:hAnsi="仿宋" w:eastAsia="仿宋" w:cs="仿宋"/>
          <w:color w:val="000000"/>
          <w:sz w:val="32"/>
          <w:szCs w:val="32"/>
        </w:rPr>
        <w:t>公务用车购置及运行维护费支出决算</w:t>
      </w:r>
      <w:r>
        <w:rPr>
          <w:rFonts w:hint="eastAsia" w:ascii="仿宋" w:hAnsi="仿宋" w:eastAsia="仿宋" w:cs="仿宋"/>
          <w:color w:val="000000"/>
          <w:sz w:val="32"/>
          <w:szCs w:val="32"/>
          <w:lang w:val="en-US" w:eastAsia="zh-CN"/>
        </w:rPr>
        <w:t>与</w:t>
      </w:r>
      <w:r>
        <w:rPr>
          <w:rFonts w:hint="eastAsia" w:ascii="仿宋" w:hAnsi="仿宋" w:eastAsia="仿宋" w:cs="仿宋"/>
          <w:color w:val="000000"/>
          <w:sz w:val="32"/>
          <w:szCs w:val="32"/>
        </w:rPr>
        <w:t>2016年</w:t>
      </w:r>
      <w:r>
        <w:rPr>
          <w:rFonts w:hint="eastAsia" w:ascii="仿宋" w:hAnsi="仿宋" w:eastAsia="仿宋" w:cs="仿宋"/>
          <w:color w:val="000000"/>
          <w:sz w:val="32"/>
          <w:szCs w:val="32"/>
          <w:lang w:val="en-US" w:eastAsia="zh-CN"/>
        </w:rPr>
        <w:t>持平。</w:t>
      </w:r>
    </w:p>
    <w:p>
      <w:pPr>
        <w:spacing w:line="600" w:lineRule="exact"/>
        <w:ind w:firstLine="643" w:firstLineChars="200"/>
        <w:rPr>
          <w:rFonts w:hint="eastAsia" w:ascii="仿宋" w:hAnsi="仿宋" w:eastAsia="仿宋" w:cs="仿宋"/>
          <w:color w:val="000000"/>
          <w:sz w:val="32"/>
          <w:szCs w:val="32"/>
        </w:rPr>
      </w:pPr>
      <w:r>
        <w:rPr>
          <w:rFonts w:hint="eastAsia" w:ascii="仿宋" w:hAnsi="仿宋" w:eastAsia="仿宋" w:cs="仿宋"/>
          <w:b/>
          <w:color w:val="000000"/>
          <w:sz w:val="32"/>
          <w:szCs w:val="32"/>
        </w:rPr>
        <w:t>3.公务接待费支出</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万元。主要用于执行公务、开展业务活动开支的交通费、住宿费、用餐费等。国内公务接待</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批次，</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人次（不包括陪同人员），共计支出</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万元。其中：外事接待</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批次，</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人，共计支出</w:t>
      </w:r>
      <w:r>
        <w:rPr>
          <w:rFonts w:hint="eastAsia" w:ascii="仿宋" w:hAnsi="仿宋" w:eastAsia="仿宋" w:cs="仿宋"/>
          <w:color w:val="000000"/>
          <w:sz w:val="32"/>
          <w:szCs w:val="32"/>
          <w:lang w:val="en-US" w:eastAsia="zh-CN"/>
        </w:rPr>
        <w:t>0</w:t>
      </w:r>
      <w:r>
        <w:rPr>
          <w:rFonts w:hint="eastAsia" w:ascii="仿宋" w:hAnsi="仿宋" w:eastAsia="仿宋" w:cs="仿宋"/>
          <w:color w:val="000000"/>
          <w:sz w:val="32"/>
          <w:szCs w:val="32"/>
        </w:rPr>
        <w:t>万元。</w:t>
      </w:r>
    </w:p>
    <w:p>
      <w:pPr>
        <w:spacing w:line="600" w:lineRule="exact"/>
        <w:ind w:firstLine="640"/>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rPr>
        <w:t>公务接待费支出决算</w:t>
      </w:r>
      <w:r>
        <w:rPr>
          <w:rFonts w:hint="eastAsia" w:ascii="仿宋" w:hAnsi="仿宋" w:eastAsia="仿宋" w:cs="仿宋"/>
          <w:color w:val="000000"/>
          <w:sz w:val="32"/>
          <w:szCs w:val="32"/>
          <w:lang w:val="en-US" w:eastAsia="zh-CN"/>
        </w:rPr>
        <w:t>与</w:t>
      </w:r>
      <w:r>
        <w:rPr>
          <w:rFonts w:hint="eastAsia" w:ascii="仿宋" w:hAnsi="仿宋" w:eastAsia="仿宋" w:cs="仿宋"/>
          <w:color w:val="000000"/>
          <w:sz w:val="32"/>
          <w:szCs w:val="32"/>
        </w:rPr>
        <w:t>2016年</w:t>
      </w:r>
      <w:r>
        <w:rPr>
          <w:rFonts w:hint="eastAsia" w:ascii="仿宋" w:hAnsi="仿宋" w:eastAsia="仿宋" w:cs="仿宋"/>
          <w:color w:val="000000"/>
          <w:sz w:val="32"/>
          <w:szCs w:val="32"/>
          <w:lang w:val="en-US" w:eastAsia="zh-CN"/>
        </w:rPr>
        <w:t>持平。</w:t>
      </w:r>
    </w:p>
    <w:p>
      <w:pPr>
        <w:spacing w:line="600" w:lineRule="exact"/>
        <w:ind w:firstLine="640"/>
        <w:rPr>
          <w:rFonts w:hint="eastAsia" w:ascii="黑体" w:hAnsi="黑体" w:eastAsia="黑体" w:cs="黑体"/>
          <w:color w:val="000000"/>
          <w:sz w:val="32"/>
          <w:szCs w:val="32"/>
        </w:rPr>
      </w:pPr>
      <w:r>
        <w:rPr>
          <w:rFonts w:hint="eastAsia" w:ascii="黑体" w:hAnsi="黑体" w:eastAsia="黑体" w:cs="黑体"/>
          <w:color w:val="000000"/>
          <w:sz w:val="32"/>
          <w:szCs w:val="32"/>
          <w:lang w:val="en-US" w:eastAsia="zh-CN"/>
        </w:rPr>
        <w:t>八</w:t>
      </w:r>
      <w:r>
        <w:rPr>
          <w:rFonts w:hint="eastAsia" w:ascii="黑体" w:hAnsi="黑体" w:eastAsia="黑体" w:cs="黑体"/>
          <w:color w:val="000000"/>
          <w:sz w:val="32"/>
          <w:szCs w:val="32"/>
        </w:rPr>
        <w:t>、政府性基金预算支出决算情况说明</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2017年度本部门政府性基金预算拨款支出0万元。</w:t>
      </w:r>
    </w:p>
    <w:p>
      <w:pPr>
        <w:spacing w:line="600" w:lineRule="exact"/>
        <w:ind w:firstLine="640"/>
        <w:rPr>
          <w:rFonts w:hint="eastAsia" w:ascii="黑体" w:hAnsi="黑体" w:eastAsia="黑体" w:cs="黑体"/>
          <w:color w:val="000000"/>
          <w:sz w:val="32"/>
          <w:szCs w:val="32"/>
        </w:rPr>
      </w:pPr>
      <w:r>
        <w:rPr>
          <w:rFonts w:hint="eastAsia" w:ascii="黑体" w:hAnsi="黑体" w:eastAsia="黑体" w:cs="黑体"/>
          <w:color w:val="000000"/>
          <w:sz w:val="32"/>
          <w:szCs w:val="32"/>
          <w:lang w:val="en-US" w:eastAsia="zh-CN"/>
        </w:rPr>
        <w:t>九</w:t>
      </w:r>
      <w:r>
        <w:rPr>
          <w:rFonts w:hint="eastAsia" w:ascii="黑体" w:hAnsi="黑体" w:eastAsia="黑体" w:cs="黑体"/>
          <w:color w:val="000000"/>
          <w:sz w:val="32"/>
          <w:szCs w:val="32"/>
        </w:rPr>
        <w:t>、国有资本经营预算支出决算情况说明</w:t>
      </w:r>
    </w:p>
    <w:p>
      <w:pPr>
        <w:spacing w:line="600" w:lineRule="exact"/>
        <w:ind w:firstLine="640"/>
        <w:rPr>
          <w:rFonts w:hint="eastAsia" w:ascii="仿宋" w:hAnsi="仿宋" w:eastAsia="仿宋" w:cs="仿宋"/>
          <w:color w:val="000000"/>
          <w:sz w:val="32"/>
          <w:szCs w:val="32"/>
        </w:rPr>
      </w:pPr>
      <w:r>
        <w:rPr>
          <w:rFonts w:hint="eastAsia" w:ascii="仿宋" w:hAnsi="仿宋" w:eastAsia="仿宋" w:cs="仿宋"/>
          <w:color w:val="000000"/>
          <w:sz w:val="32"/>
          <w:szCs w:val="32"/>
        </w:rPr>
        <w:t>2017年度本部门国有资本经营预算拨款支出0万元。</w:t>
      </w:r>
    </w:p>
    <w:p>
      <w:pPr>
        <w:spacing w:line="600" w:lineRule="exact"/>
        <w:ind w:firstLine="640" w:firstLineChars="200"/>
        <w:rPr>
          <w:rFonts w:hint="eastAsia" w:ascii="黑体" w:hAnsi="黑体" w:eastAsia="黑体" w:cs="黑体"/>
          <w:color w:val="000000"/>
          <w:sz w:val="32"/>
          <w:szCs w:val="32"/>
        </w:rPr>
      </w:pPr>
      <w:r>
        <w:rPr>
          <w:rFonts w:hint="eastAsia" w:ascii="黑体" w:hAnsi="黑体" w:eastAsia="黑体" w:cs="黑体"/>
          <w:color w:val="000000"/>
          <w:sz w:val="32"/>
          <w:szCs w:val="32"/>
        </w:rPr>
        <w:t>十、其他重要事项的情况说明</w:t>
      </w:r>
    </w:p>
    <w:p>
      <w:pPr>
        <w:spacing w:line="600" w:lineRule="exact"/>
        <w:ind w:firstLine="643" w:firstLineChars="200"/>
        <w:rPr>
          <w:rFonts w:hint="eastAsia" w:ascii="仿宋" w:hAnsi="仿宋" w:eastAsia="仿宋" w:cs="仿宋"/>
          <w:color w:val="000000"/>
          <w:sz w:val="32"/>
          <w:szCs w:val="32"/>
        </w:rPr>
      </w:pPr>
      <w:r>
        <w:rPr>
          <w:rFonts w:hint="eastAsia" w:ascii="仿宋" w:hAnsi="仿宋" w:eastAsia="仿宋" w:cs="仿宋"/>
          <w:b/>
          <w:color w:val="000000"/>
          <w:sz w:val="32"/>
          <w:szCs w:val="32"/>
        </w:rPr>
        <w:t>（一）机关运行经费支出情况</w:t>
      </w:r>
    </w:p>
    <w:p>
      <w:pPr>
        <w:spacing w:line="60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2017年度，本部门机关运行经费支出0万元，与2016年决算数持平。</w:t>
      </w:r>
    </w:p>
    <w:p>
      <w:pPr>
        <w:autoSpaceDE w:val="0"/>
        <w:autoSpaceDN w:val="0"/>
        <w:adjustRightInd w:val="0"/>
        <w:spacing w:line="600" w:lineRule="exact"/>
        <w:ind w:firstLine="643" w:firstLineChars="20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（二）政府采购支出情况</w:t>
      </w:r>
    </w:p>
    <w:p>
      <w:pPr>
        <w:spacing w:line="60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2017年度，本部门政府采购支出总额0万元，其中：政府采购货物支出0万元、政府采购工程支出0万元、政府采购服务支出0万元。授予中小企业合同金额0万元，占政府采购支出总额的0%，其中：授予小微企业合同金额0万元，占政府采购支出总额的0%。</w:t>
      </w:r>
    </w:p>
    <w:p>
      <w:pPr>
        <w:autoSpaceDE w:val="0"/>
        <w:autoSpaceDN w:val="0"/>
        <w:adjustRightInd w:val="0"/>
        <w:spacing w:line="600" w:lineRule="exact"/>
        <w:ind w:firstLine="643" w:firstLineChars="20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（三）国有资产占有使用情况</w:t>
      </w:r>
    </w:p>
    <w:p>
      <w:pPr>
        <w:autoSpaceDE w:val="0"/>
        <w:autoSpaceDN w:val="0"/>
        <w:adjustRightInd w:val="0"/>
        <w:spacing w:line="600" w:lineRule="exact"/>
        <w:ind w:firstLine="640" w:firstLineChars="200"/>
        <w:jc w:val="left"/>
        <w:rPr>
          <w:rFonts w:hint="eastAsia" w:ascii="仿宋" w:hAnsi="仿宋" w:eastAsia="仿宋" w:cs="仿宋"/>
          <w:color w:val="000000"/>
          <w:sz w:val="32"/>
          <w:szCs w:val="32"/>
        </w:rPr>
      </w:pPr>
      <w:r>
        <w:rPr>
          <w:rFonts w:hint="eastAsia" w:ascii="仿宋" w:hAnsi="仿宋" w:eastAsia="仿宋" w:cs="仿宋"/>
          <w:color w:val="000000"/>
          <w:sz w:val="32"/>
          <w:szCs w:val="32"/>
        </w:rPr>
        <w:t>截至2017年12月31日，本部门共有车辆0辆，其中：部级领导干部用车0辆、一般公务用车0辆、一般执法执勤用车0辆、特种专业技术用车0辆、其他用车0辆；单价50万元以上通用设备0台（套），单价100万元以上专用设备0台（套）。</w:t>
      </w:r>
    </w:p>
    <w:p>
      <w:pPr>
        <w:autoSpaceDE w:val="0"/>
        <w:autoSpaceDN w:val="0"/>
        <w:adjustRightInd w:val="0"/>
        <w:spacing w:line="600" w:lineRule="exact"/>
        <w:ind w:firstLine="643" w:firstLineChars="20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（四）预算绩效情况</w:t>
      </w:r>
    </w:p>
    <w:p>
      <w:pPr>
        <w:spacing w:line="600" w:lineRule="atLeas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1.绩效目标管理情况。</w:t>
      </w:r>
    </w:p>
    <w:p>
      <w:pPr>
        <w:spacing w:line="600" w:lineRule="atLeas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按照预算绩效管理要求，本部门</w:t>
      </w:r>
      <w:r>
        <w:rPr>
          <w:rFonts w:hint="eastAsia" w:ascii="仿宋" w:hAnsi="仿宋" w:eastAsia="仿宋" w:cs="仿宋"/>
          <w:color w:val="000000"/>
          <w:sz w:val="32"/>
          <w:szCs w:val="32"/>
          <w:lang w:val="en-US" w:eastAsia="zh-CN"/>
        </w:rPr>
        <w:t>未</w:t>
      </w:r>
      <w:r>
        <w:rPr>
          <w:rFonts w:hint="eastAsia" w:ascii="仿宋" w:hAnsi="仿宋" w:eastAsia="仿宋" w:cs="仿宋"/>
          <w:color w:val="000000"/>
          <w:sz w:val="32"/>
          <w:szCs w:val="32"/>
        </w:rPr>
        <w:t>对2017年一般公共预算项目支出开展</w:t>
      </w:r>
      <w:bookmarkStart w:id="3" w:name="_GoBack"/>
      <w:bookmarkEnd w:id="3"/>
      <w:r>
        <w:rPr>
          <w:rFonts w:hint="eastAsia" w:ascii="仿宋" w:hAnsi="仿宋" w:eastAsia="仿宋" w:cs="仿宋"/>
          <w:color w:val="000000"/>
          <w:sz w:val="32"/>
          <w:szCs w:val="32"/>
        </w:rPr>
        <w:t>绩效目标管理，共编制绩效目标0个，涉及财政资金0万元，覆盖率达到0%。</w:t>
      </w:r>
    </w:p>
    <w:p>
      <w:pPr>
        <w:spacing w:line="600" w:lineRule="atLeas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2.部门整体支出绩效自评开展情况。</w:t>
      </w:r>
    </w:p>
    <w:p>
      <w:pPr>
        <w:spacing w:line="600" w:lineRule="atLeast"/>
        <w:ind w:firstLine="640" w:firstLineChars="200"/>
        <w:rPr>
          <w:rFonts w:hint="eastAsia" w:ascii="仿宋" w:hAnsi="仿宋" w:eastAsia="仿宋" w:cs="仿宋"/>
          <w:b/>
          <w:color w:val="000000"/>
          <w:sz w:val="32"/>
          <w:szCs w:val="32"/>
          <w:highlight w:val="yellow"/>
        </w:rPr>
      </w:pPr>
      <w:r>
        <w:rPr>
          <w:rFonts w:hint="eastAsia" w:ascii="仿宋" w:hAnsi="仿宋" w:eastAsia="仿宋" w:cs="仿宋"/>
          <w:color w:val="000000"/>
          <w:sz w:val="32"/>
          <w:szCs w:val="32"/>
        </w:rPr>
        <w:t>本部门未对2017年整体支出开展绩效自评。</w:t>
      </w:r>
    </w:p>
    <w:p>
      <w:pPr>
        <w:spacing w:line="600" w:lineRule="atLeast"/>
        <w:ind w:firstLine="643" w:firstLineChars="200"/>
        <w:rPr>
          <w:rFonts w:hint="eastAsia" w:ascii="仿宋" w:hAnsi="仿宋" w:eastAsia="仿宋" w:cs="仿宋"/>
          <w:b/>
          <w:color w:val="000000"/>
          <w:sz w:val="32"/>
          <w:szCs w:val="32"/>
        </w:rPr>
      </w:pPr>
    </w:p>
    <w:p>
      <w:pPr>
        <w:jc w:val="center"/>
        <w:rPr>
          <w:rFonts w:hint="eastAsia" w:ascii="仿宋" w:hAnsi="仿宋" w:eastAsia="仿宋" w:cs="仿宋"/>
          <w:color w:val="000000"/>
          <w:sz w:val="32"/>
          <w:szCs w:val="32"/>
        </w:rPr>
      </w:pPr>
      <w:r>
        <w:rPr>
          <w:rFonts w:hint="eastAsia" w:ascii="仿宋" w:hAnsi="仿宋" w:eastAsia="仿宋" w:cs="仿宋"/>
          <w:color w:val="000000"/>
          <w:sz w:val="32"/>
          <w:szCs w:val="32"/>
        </w:rPr>
        <w:t>2017年部门整体支出绩效评价得分表</w:t>
      </w:r>
    </w:p>
    <w:tbl>
      <w:tblPr>
        <w:tblStyle w:val="6"/>
        <w:tblW w:w="9118" w:type="dxa"/>
        <w:tblInd w:w="-184" w:type="dxa"/>
        <w:tblLayout w:type="fixed"/>
        <w:tblCellMar>
          <w:top w:w="0" w:type="dxa"/>
          <w:left w:w="108" w:type="dxa"/>
          <w:bottom w:w="0" w:type="dxa"/>
          <w:right w:w="108" w:type="dxa"/>
        </w:tblCellMar>
      </w:tblPr>
      <w:tblGrid>
        <w:gridCol w:w="1724"/>
        <w:gridCol w:w="2298"/>
        <w:gridCol w:w="3445"/>
        <w:gridCol w:w="1651"/>
      </w:tblGrid>
      <w:tr>
        <w:tblPrEx>
          <w:tblLayout w:type="fixed"/>
          <w:tblCellMar>
            <w:top w:w="0" w:type="dxa"/>
            <w:left w:w="108" w:type="dxa"/>
            <w:bottom w:w="0" w:type="dxa"/>
            <w:right w:w="108" w:type="dxa"/>
          </w:tblCellMar>
        </w:tblPrEx>
        <w:trPr>
          <w:trHeight w:val="322" w:hRule="atLeast"/>
        </w:trPr>
        <w:tc>
          <w:tcPr>
            <w:tcW w:w="172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一级指标</w:t>
            </w:r>
          </w:p>
        </w:tc>
        <w:tc>
          <w:tcPr>
            <w:tcW w:w="2298" w:type="dxa"/>
            <w:tcBorders>
              <w:top w:val="single" w:color="auto" w:sz="4" w:space="0"/>
              <w:left w:val="nil"/>
              <w:bottom w:val="single" w:color="auto" w:sz="4" w:space="0"/>
              <w:right w:val="single" w:color="auto" w:sz="4" w:space="0"/>
            </w:tcBorders>
            <w:vAlign w:val="center"/>
          </w:tcPr>
          <w:p>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二级指标</w:t>
            </w:r>
          </w:p>
        </w:tc>
        <w:tc>
          <w:tcPr>
            <w:tcW w:w="3445" w:type="dxa"/>
            <w:tcBorders>
              <w:top w:val="single" w:color="auto" w:sz="4" w:space="0"/>
              <w:left w:val="nil"/>
              <w:bottom w:val="single" w:color="auto" w:sz="4" w:space="0"/>
              <w:right w:val="single" w:color="auto" w:sz="4" w:space="0"/>
            </w:tcBorders>
            <w:vAlign w:val="center"/>
          </w:tcPr>
          <w:p>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三级指标</w:t>
            </w:r>
          </w:p>
        </w:tc>
        <w:tc>
          <w:tcPr>
            <w:tcW w:w="1651" w:type="dxa"/>
            <w:tcBorders>
              <w:top w:val="single" w:color="auto" w:sz="4" w:space="0"/>
              <w:left w:val="nil"/>
              <w:bottom w:val="single" w:color="auto" w:sz="4" w:space="0"/>
              <w:right w:val="single" w:color="auto" w:sz="4" w:space="0"/>
            </w:tcBorders>
            <w:vAlign w:val="top"/>
          </w:tcPr>
          <w:p>
            <w:pPr>
              <w:widowControl/>
              <w:jc w:val="center"/>
              <w:rPr>
                <w:rFonts w:hint="eastAsia" w:ascii="仿宋" w:hAnsi="仿宋" w:eastAsia="仿宋" w:cs="仿宋"/>
                <w:b/>
                <w:bCs/>
                <w:color w:val="000000"/>
                <w:kern w:val="0"/>
                <w:sz w:val="20"/>
                <w:szCs w:val="20"/>
              </w:rPr>
            </w:pPr>
            <w:r>
              <w:rPr>
                <w:rFonts w:hint="eastAsia" w:ascii="仿宋" w:hAnsi="仿宋" w:eastAsia="仿宋" w:cs="仿宋"/>
                <w:b/>
                <w:bCs/>
                <w:color w:val="000000"/>
                <w:kern w:val="0"/>
                <w:sz w:val="20"/>
                <w:szCs w:val="20"/>
              </w:rPr>
              <w:t>得分</w:t>
            </w:r>
          </w:p>
        </w:tc>
      </w:tr>
      <w:tr>
        <w:tblPrEx>
          <w:tblLayout w:type="fixed"/>
          <w:tblCellMar>
            <w:top w:w="0" w:type="dxa"/>
            <w:left w:w="108" w:type="dxa"/>
            <w:bottom w:w="0" w:type="dxa"/>
            <w:right w:w="108" w:type="dxa"/>
          </w:tblCellMar>
        </w:tblPrEx>
        <w:trPr>
          <w:trHeight w:val="545" w:hRule="atLeast"/>
        </w:trPr>
        <w:tc>
          <w:tcPr>
            <w:tcW w:w="1724" w:type="dxa"/>
            <w:vMerge w:val="restart"/>
            <w:tcBorders>
              <w:top w:val="nil"/>
              <w:left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部门决策（25分）</w:t>
            </w:r>
          </w:p>
        </w:tc>
        <w:tc>
          <w:tcPr>
            <w:tcW w:w="2298" w:type="dxa"/>
            <w:vMerge w:val="restart"/>
            <w:tcBorders>
              <w:top w:val="nil"/>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目标任务（15分）</w:t>
            </w: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相关性（5分）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435" w:hRule="atLeast"/>
        </w:trPr>
        <w:tc>
          <w:tcPr>
            <w:tcW w:w="1724"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明确性（5分）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442" w:hRule="atLeast"/>
        </w:trPr>
        <w:tc>
          <w:tcPr>
            <w:tcW w:w="1724"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合理性（5分）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p>
        </w:tc>
        <w:tc>
          <w:tcPr>
            <w:tcW w:w="2298" w:type="dxa"/>
            <w:vMerge w:val="restart"/>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预算编制（10分）</w:t>
            </w: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测算依据（5分）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目标管理（5分）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501" w:hRule="atLeast"/>
        </w:trPr>
        <w:tc>
          <w:tcPr>
            <w:tcW w:w="1724" w:type="dxa"/>
            <w:vMerge w:val="restart"/>
            <w:tcBorders>
              <w:top w:val="nil"/>
              <w:left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综合管理（30分）</w:t>
            </w:r>
          </w:p>
        </w:tc>
        <w:tc>
          <w:tcPr>
            <w:tcW w:w="2298" w:type="dxa"/>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中期评估（2分）</w:t>
            </w: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执行中期评估（2分）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402" w:hRule="atLeast"/>
        </w:trPr>
        <w:tc>
          <w:tcPr>
            <w:tcW w:w="1724" w:type="dxa"/>
            <w:vMerge w:val="continue"/>
            <w:tcBorders>
              <w:left w:val="single" w:color="auto" w:sz="4" w:space="0"/>
              <w:right w:val="single" w:color="auto" w:sz="4" w:space="0"/>
            </w:tcBorders>
            <w:vAlign w:val="center"/>
          </w:tcPr>
          <w:p>
            <w:pPr>
              <w:jc w:val="center"/>
              <w:rPr>
                <w:rFonts w:hint="eastAsia" w:ascii="仿宋" w:hAnsi="仿宋" w:eastAsia="仿宋" w:cs="仿宋"/>
                <w:color w:val="000000"/>
                <w:kern w:val="0"/>
                <w:sz w:val="20"/>
                <w:szCs w:val="20"/>
              </w:rPr>
            </w:pPr>
          </w:p>
        </w:tc>
        <w:tc>
          <w:tcPr>
            <w:tcW w:w="2298" w:type="dxa"/>
            <w:vMerge w:val="restart"/>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绩效监控（5分）</w:t>
            </w: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预算执行进度监控（2分）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jc w:val="center"/>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绩效目标动态监控（3分）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jc w:val="center"/>
              <w:rPr>
                <w:rFonts w:hint="eastAsia" w:ascii="仿宋" w:hAnsi="仿宋" w:eastAsia="仿宋" w:cs="仿宋"/>
                <w:color w:val="000000"/>
                <w:kern w:val="0"/>
                <w:sz w:val="20"/>
                <w:szCs w:val="20"/>
              </w:rPr>
            </w:pPr>
          </w:p>
        </w:tc>
        <w:tc>
          <w:tcPr>
            <w:tcW w:w="2298" w:type="dxa"/>
            <w:vMerge w:val="restart"/>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非税收入执收情况（2分）</w:t>
            </w: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非税收入征收情况（1分）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44" w:hRule="atLeast"/>
        </w:trPr>
        <w:tc>
          <w:tcPr>
            <w:tcW w:w="1724" w:type="dxa"/>
            <w:vMerge w:val="continue"/>
            <w:tcBorders>
              <w:left w:val="single" w:color="auto" w:sz="4" w:space="0"/>
              <w:right w:val="single" w:color="auto" w:sz="4" w:space="0"/>
            </w:tcBorders>
            <w:vAlign w:val="center"/>
          </w:tcPr>
          <w:p>
            <w:pPr>
              <w:jc w:val="center"/>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非税收入上缴情况（1分）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jc w:val="center"/>
              <w:rPr>
                <w:rFonts w:hint="eastAsia" w:ascii="仿宋" w:hAnsi="仿宋" w:eastAsia="仿宋" w:cs="仿宋"/>
                <w:color w:val="000000"/>
                <w:kern w:val="0"/>
                <w:sz w:val="20"/>
                <w:szCs w:val="20"/>
              </w:rPr>
            </w:pPr>
          </w:p>
        </w:tc>
        <w:tc>
          <w:tcPr>
            <w:tcW w:w="2298" w:type="dxa"/>
            <w:vMerge w:val="restart"/>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资产管理（6分）</w:t>
            </w: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资产管理信息化情况（2分）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jc w:val="center"/>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行政事业单位资产报告情况（2分）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73" w:hRule="atLeast"/>
        </w:trPr>
        <w:tc>
          <w:tcPr>
            <w:tcW w:w="1724" w:type="dxa"/>
            <w:vMerge w:val="continue"/>
            <w:tcBorders>
              <w:left w:val="single" w:color="auto" w:sz="4" w:space="0"/>
              <w:right w:val="single" w:color="auto" w:sz="4" w:space="0"/>
            </w:tcBorders>
            <w:vAlign w:val="center"/>
          </w:tcPr>
          <w:p>
            <w:pPr>
              <w:jc w:val="center"/>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资产管理与预算管理相结合（2分）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p>
        </w:tc>
        <w:tc>
          <w:tcPr>
            <w:tcW w:w="2298"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内控制度管理（2分）</w:t>
            </w: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内部控制度健全完整（2分）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2298" w:type="dxa"/>
            <w:vMerge w:val="restart"/>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信息公开（8分）</w:t>
            </w: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预算公开（3分）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决算公开（3分）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绩效信息公开（2分）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427" w:hRule="atLeast"/>
        </w:trPr>
        <w:tc>
          <w:tcPr>
            <w:tcW w:w="1724" w:type="dxa"/>
            <w:vMerge w:val="continue"/>
            <w:tcBorders>
              <w:left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2298" w:type="dxa"/>
            <w:vMerge w:val="restart"/>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绩效评价（5分）</w:t>
            </w: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绩效评价开展（2分）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评价结果应用（3分）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restart"/>
            <w:tcBorders>
              <w:top w:val="nil"/>
              <w:left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部门绩效情况（45分）</w:t>
            </w:r>
          </w:p>
        </w:tc>
        <w:tc>
          <w:tcPr>
            <w:tcW w:w="2298" w:type="dxa"/>
            <w:vMerge w:val="restart"/>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履职成效（20分）</w:t>
            </w:r>
          </w:p>
        </w:tc>
        <w:tc>
          <w:tcPr>
            <w:tcW w:w="3445"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部门特性指标</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jc w:val="left"/>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jc w:val="left"/>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p>
        </w:tc>
      </w:tr>
      <w:tr>
        <w:tblPrEx>
          <w:tblLayout w:type="fixed"/>
          <w:tblCellMar>
            <w:top w:w="0" w:type="dxa"/>
            <w:left w:w="108" w:type="dxa"/>
            <w:bottom w:w="0" w:type="dxa"/>
            <w:right w:w="108" w:type="dxa"/>
          </w:tblCellMar>
        </w:tblPrEx>
        <w:trPr>
          <w:trHeight w:val="322" w:hRule="atLeast"/>
        </w:trPr>
        <w:tc>
          <w:tcPr>
            <w:tcW w:w="1724" w:type="dxa"/>
            <w:vMerge w:val="continue"/>
            <w:tcBorders>
              <w:left w:val="single" w:color="auto" w:sz="4" w:space="0"/>
              <w:right w:val="single" w:color="auto" w:sz="4" w:space="0"/>
            </w:tcBorders>
            <w:vAlign w:val="center"/>
          </w:tcPr>
          <w:p>
            <w:pPr>
              <w:jc w:val="left"/>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p>
        </w:tc>
      </w:tr>
      <w:tr>
        <w:tblPrEx>
          <w:tblLayout w:type="fixed"/>
          <w:tblCellMar>
            <w:top w:w="0" w:type="dxa"/>
            <w:left w:w="108" w:type="dxa"/>
            <w:bottom w:w="0" w:type="dxa"/>
            <w:right w:w="108" w:type="dxa"/>
          </w:tblCellMar>
        </w:tblPrEx>
        <w:trPr>
          <w:trHeight w:val="634" w:hRule="atLeast"/>
        </w:trPr>
        <w:tc>
          <w:tcPr>
            <w:tcW w:w="1724" w:type="dxa"/>
            <w:vMerge w:val="continue"/>
            <w:tcBorders>
              <w:left w:val="single" w:color="auto" w:sz="4" w:space="0"/>
              <w:right w:val="single" w:color="auto" w:sz="4" w:space="0"/>
            </w:tcBorders>
            <w:vAlign w:val="center"/>
          </w:tcPr>
          <w:p>
            <w:pPr>
              <w:jc w:val="left"/>
              <w:rPr>
                <w:rFonts w:hint="eastAsia" w:ascii="仿宋" w:hAnsi="仿宋" w:eastAsia="仿宋" w:cs="仿宋"/>
                <w:color w:val="000000"/>
                <w:kern w:val="0"/>
                <w:sz w:val="20"/>
                <w:szCs w:val="20"/>
              </w:rPr>
            </w:pPr>
          </w:p>
        </w:tc>
        <w:tc>
          <w:tcPr>
            <w:tcW w:w="2298" w:type="dxa"/>
            <w:vMerge w:val="restart"/>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可持续发展能力（15分）</w:t>
            </w:r>
          </w:p>
        </w:tc>
        <w:tc>
          <w:tcPr>
            <w:tcW w:w="3445"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重点改革（重点工作）完成情况（5分）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634" w:hRule="atLeast"/>
        </w:trPr>
        <w:tc>
          <w:tcPr>
            <w:tcW w:w="1724" w:type="dxa"/>
            <w:vMerge w:val="continue"/>
            <w:tcBorders>
              <w:left w:val="single" w:color="auto" w:sz="4" w:space="0"/>
              <w:right w:val="single" w:color="auto" w:sz="4" w:space="0"/>
            </w:tcBorders>
            <w:vAlign w:val="center"/>
          </w:tcPr>
          <w:p>
            <w:pPr>
              <w:jc w:val="left"/>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科技（制度、方法、机制等）创新（5分）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406" w:hRule="atLeast"/>
        </w:trPr>
        <w:tc>
          <w:tcPr>
            <w:tcW w:w="1724" w:type="dxa"/>
            <w:vMerge w:val="continue"/>
            <w:tcBorders>
              <w:left w:val="single" w:color="auto" w:sz="4" w:space="0"/>
              <w:right w:val="single" w:color="auto" w:sz="4" w:space="0"/>
            </w:tcBorders>
            <w:vAlign w:val="center"/>
          </w:tcPr>
          <w:p>
            <w:pPr>
              <w:jc w:val="left"/>
              <w:rPr>
                <w:rFonts w:hint="eastAsia" w:ascii="仿宋" w:hAnsi="仿宋" w:eastAsia="仿宋" w:cs="仿宋"/>
                <w:color w:val="000000"/>
                <w:kern w:val="0"/>
                <w:sz w:val="20"/>
                <w:szCs w:val="20"/>
              </w:rPr>
            </w:pPr>
          </w:p>
        </w:tc>
        <w:tc>
          <w:tcPr>
            <w:tcW w:w="2298"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人才培养（5分）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454" w:hRule="atLeast"/>
        </w:trPr>
        <w:tc>
          <w:tcPr>
            <w:tcW w:w="1724" w:type="dxa"/>
            <w:vMerge w:val="continue"/>
            <w:tcBorders>
              <w:left w:val="single" w:color="auto" w:sz="4" w:space="0"/>
              <w:right w:val="single" w:color="auto" w:sz="4" w:space="0"/>
            </w:tcBorders>
            <w:vAlign w:val="center"/>
          </w:tcPr>
          <w:p>
            <w:pPr>
              <w:jc w:val="left"/>
              <w:rPr>
                <w:rFonts w:hint="eastAsia" w:ascii="仿宋" w:hAnsi="仿宋" w:eastAsia="仿宋" w:cs="仿宋"/>
                <w:color w:val="000000"/>
                <w:kern w:val="0"/>
                <w:sz w:val="20"/>
                <w:szCs w:val="20"/>
              </w:rPr>
            </w:pPr>
          </w:p>
        </w:tc>
        <w:tc>
          <w:tcPr>
            <w:tcW w:w="2298" w:type="dxa"/>
            <w:vMerge w:val="restart"/>
            <w:tcBorders>
              <w:top w:val="nil"/>
              <w:left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满意度（10分）</w:t>
            </w:r>
          </w:p>
        </w:tc>
        <w:tc>
          <w:tcPr>
            <w:tcW w:w="3445"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协作部门满意度（3分）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417" w:hRule="atLeast"/>
        </w:trPr>
        <w:tc>
          <w:tcPr>
            <w:tcW w:w="1724" w:type="dxa"/>
            <w:vMerge w:val="continue"/>
            <w:tcBorders>
              <w:left w:val="single" w:color="auto" w:sz="4" w:space="0"/>
              <w:right w:val="single" w:color="auto" w:sz="4" w:space="0"/>
            </w:tcBorders>
            <w:vAlign w:val="center"/>
          </w:tcPr>
          <w:p>
            <w:pPr>
              <w:jc w:val="left"/>
              <w:rPr>
                <w:rFonts w:hint="eastAsia" w:ascii="仿宋" w:hAnsi="仿宋" w:eastAsia="仿宋" w:cs="仿宋"/>
                <w:color w:val="000000"/>
                <w:kern w:val="0"/>
                <w:sz w:val="20"/>
                <w:szCs w:val="20"/>
              </w:rPr>
            </w:pPr>
          </w:p>
        </w:tc>
        <w:tc>
          <w:tcPr>
            <w:tcW w:w="2298" w:type="dxa"/>
            <w:vMerge w:val="continue"/>
            <w:tcBorders>
              <w:left w:val="single" w:color="auto" w:sz="4" w:space="0"/>
              <w:right w:val="single" w:color="auto" w:sz="4" w:space="0"/>
            </w:tcBorders>
            <w:vAlign w:val="center"/>
          </w:tcPr>
          <w:p>
            <w:pPr>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管理对象满意度（3分）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540" w:hRule="atLeast"/>
        </w:trPr>
        <w:tc>
          <w:tcPr>
            <w:tcW w:w="1724" w:type="dxa"/>
            <w:vMerge w:val="continue"/>
            <w:tcBorders>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2298" w:type="dxa"/>
            <w:vMerge w:val="continue"/>
            <w:tcBorders>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000000"/>
                <w:kern w:val="0"/>
                <w:sz w:val="20"/>
                <w:szCs w:val="20"/>
              </w:rPr>
            </w:pPr>
          </w:p>
        </w:tc>
        <w:tc>
          <w:tcPr>
            <w:tcW w:w="3445"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社会公众满意度（4分）</w:t>
            </w:r>
          </w:p>
        </w:tc>
        <w:tc>
          <w:tcPr>
            <w:tcW w:w="1651" w:type="dxa"/>
            <w:tcBorders>
              <w:top w:val="nil"/>
              <w:left w:val="nil"/>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p>
        </w:tc>
      </w:tr>
      <w:tr>
        <w:tblPrEx>
          <w:tblLayout w:type="fixed"/>
          <w:tblCellMar>
            <w:top w:w="0" w:type="dxa"/>
            <w:left w:w="108" w:type="dxa"/>
            <w:bottom w:w="0" w:type="dxa"/>
            <w:right w:w="108" w:type="dxa"/>
          </w:tblCellMar>
        </w:tblPrEx>
        <w:trPr>
          <w:trHeight w:val="360" w:hRule="atLeast"/>
        </w:trPr>
        <w:tc>
          <w:tcPr>
            <w:tcW w:w="172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总分</w:t>
            </w:r>
          </w:p>
        </w:tc>
        <w:tc>
          <w:tcPr>
            <w:tcW w:w="739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95</w:t>
            </w:r>
          </w:p>
        </w:tc>
      </w:tr>
    </w:tbl>
    <w:p>
      <w:pPr>
        <w:rPr>
          <w:rFonts w:hint="eastAsia" w:ascii="仿宋" w:hAnsi="仿宋" w:eastAsia="仿宋" w:cs="仿宋"/>
          <w:color w:val="000000"/>
        </w:rPr>
      </w:pPr>
    </w:p>
    <w:p>
      <w:pPr>
        <w:autoSpaceDE w:val="0"/>
        <w:autoSpaceDN w:val="0"/>
        <w:adjustRightInd w:val="0"/>
        <w:spacing w:line="600" w:lineRule="exact"/>
        <w:ind w:firstLine="640" w:firstLineChars="200"/>
        <w:jc w:val="left"/>
        <w:rPr>
          <w:rFonts w:hint="eastAsia" w:ascii="黑体" w:hAnsi="黑体" w:eastAsia="黑体" w:cs="黑体"/>
          <w:color w:val="000000"/>
          <w:sz w:val="32"/>
          <w:szCs w:val="32"/>
        </w:rPr>
      </w:pPr>
      <w:r>
        <w:rPr>
          <w:rFonts w:hint="eastAsia" w:ascii="黑体" w:hAnsi="黑体" w:eastAsia="黑体" w:cs="黑体"/>
          <w:color w:val="000000"/>
          <w:sz w:val="32"/>
          <w:szCs w:val="32"/>
        </w:rPr>
        <w:t>十</w:t>
      </w:r>
      <w:r>
        <w:rPr>
          <w:rFonts w:hint="eastAsia" w:ascii="黑体" w:hAnsi="黑体" w:eastAsia="黑体" w:cs="黑体"/>
          <w:color w:val="000000"/>
          <w:sz w:val="32"/>
          <w:szCs w:val="32"/>
          <w:lang w:val="en-US" w:eastAsia="zh-CN"/>
        </w:rPr>
        <w:t>一</w:t>
      </w:r>
      <w:r>
        <w:rPr>
          <w:rFonts w:hint="eastAsia" w:ascii="黑体" w:hAnsi="黑体" w:eastAsia="黑体" w:cs="黑体"/>
          <w:color w:val="000000"/>
          <w:sz w:val="32"/>
          <w:szCs w:val="32"/>
        </w:rPr>
        <w:t>、名词解释</w:t>
      </w:r>
    </w:p>
    <w:p>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1.财政拨款收入：指单位从同级财政部门取得的财政预算资金。</w:t>
      </w:r>
    </w:p>
    <w:p>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2.事业收入：指事业单位开展专业业务活动及辅助活动取得的收入。</w:t>
      </w:r>
    </w:p>
    <w:p>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3.经营收入：指事业单位在专业业务活动及其辅助活动之外开展非独立核算经营活动取得的收入。。</w:t>
      </w:r>
    </w:p>
    <w:p>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4.其他收入：指单位取得的除上述收入以外的各项收入。</w:t>
      </w:r>
    </w:p>
    <w:p>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5.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 </w:t>
      </w:r>
    </w:p>
    <w:p>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6.年初结转和结余：指以前年度尚未完成、结转到本年按有关规定继续使用的资金。 </w:t>
      </w:r>
    </w:p>
    <w:p>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7.结余分配：指事业单位按照事业单位会计制度的规定从非财政补助结余中分配的事业基金和职工福利基金等。</w:t>
      </w:r>
    </w:p>
    <w:p>
      <w:pPr>
        <w:pStyle w:val="7"/>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8、年末结转和结余：指单位按有关规定结转到下年或以后年度继续使用的资金。</w:t>
      </w:r>
    </w:p>
    <w:p>
      <w:p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9.</w:t>
      </w:r>
      <w:r>
        <w:rPr>
          <w:rStyle w:val="5"/>
          <w:rFonts w:hint="eastAsia" w:ascii="仿宋" w:hAnsi="仿宋" w:eastAsia="仿宋" w:cs="仿宋"/>
          <w:color w:val="000000"/>
          <w:sz w:val="32"/>
          <w:szCs w:val="32"/>
        </w:rPr>
        <w:t>教育支出（类）普通教育（款）小学教育（项）：</w:t>
      </w:r>
      <w:r>
        <w:rPr>
          <w:rFonts w:hint="eastAsia" w:ascii="仿宋" w:hAnsi="仿宋" w:eastAsia="仿宋" w:cs="仿宋"/>
          <w:color w:val="000000"/>
          <w:sz w:val="32"/>
          <w:szCs w:val="32"/>
        </w:rPr>
        <w:t>指小学教育支出。</w:t>
      </w:r>
    </w:p>
    <w:p>
      <w:p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10.</w:t>
      </w:r>
      <w:r>
        <w:rPr>
          <w:rStyle w:val="5"/>
          <w:rFonts w:hint="eastAsia" w:ascii="仿宋" w:hAnsi="仿宋" w:eastAsia="仿宋" w:cs="仿宋"/>
          <w:color w:val="000000"/>
          <w:sz w:val="32"/>
          <w:szCs w:val="32"/>
        </w:rPr>
        <w:t>社会保障和就业支出（类）行政事业单位离退休（款）机关事业单位基本养老保险缴费支出（项）:</w:t>
      </w:r>
      <w:r>
        <w:rPr>
          <w:rFonts w:hint="eastAsia" w:ascii="仿宋" w:hAnsi="仿宋" w:eastAsia="仿宋" w:cs="仿宋"/>
          <w:color w:val="000000"/>
          <w:sz w:val="32"/>
          <w:szCs w:val="32"/>
        </w:rPr>
        <w:t>指机关事业单位实施养老保险制度由单位缴纳的基本养老保险费支出。</w:t>
      </w:r>
    </w:p>
    <w:p>
      <w:p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11.</w:t>
      </w:r>
      <w:r>
        <w:rPr>
          <w:rStyle w:val="5"/>
          <w:rFonts w:hint="eastAsia" w:ascii="仿宋" w:hAnsi="仿宋" w:eastAsia="仿宋" w:cs="仿宋"/>
          <w:color w:val="000000"/>
          <w:sz w:val="32"/>
          <w:szCs w:val="32"/>
        </w:rPr>
        <w:t>医疗卫生与计划生育支出（类）行政事业单位医疗（款） 事业单位医疗（项）：</w:t>
      </w:r>
      <w:r>
        <w:rPr>
          <w:rFonts w:hint="eastAsia" w:ascii="仿宋" w:hAnsi="仿宋" w:eastAsia="仿宋" w:cs="仿宋"/>
          <w:color w:val="000000"/>
          <w:sz w:val="32"/>
          <w:szCs w:val="32"/>
        </w:rPr>
        <w:t>指财政部门集中安排的事业单位基本医疗保险缴费经费。</w:t>
      </w:r>
    </w:p>
    <w:p>
      <w:p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12.</w:t>
      </w:r>
      <w:r>
        <w:rPr>
          <w:rStyle w:val="5"/>
          <w:rFonts w:hint="eastAsia" w:ascii="仿宋" w:hAnsi="仿宋" w:eastAsia="仿宋" w:cs="仿宋"/>
          <w:color w:val="000000"/>
          <w:sz w:val="32"/>
          <w:szCs w:val="32"/>
        </w:rPr>
        <w:t>住房保障支出（类）住房改革支出（款）住房公积金（项）：</w:t>
      </w:r>
      <w:r>
        <w:rPr>
          <w:rFonts w:hint="eastAsia" w:ascii="仿宋" w:hAnsi="仿宋" w:eastAsia="仿宋" w:cs="仿宋"/>
          <w:color w:val="000000"/>
          <w:sz w:val="32"/>
          <w:szCs w:val="32"/>
        </w:rPr>
        <w:t>指单位按人力资源和社会保障部、财政部规定的基本工资和津贴补贴以及规定比例为职工缴纳的住房公积金。</w:t>
      </w:r>
    </w:p>
    <w:p>
      <w:p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13.基本支出：指为保障机构正常运转、完成日常工作任务而发生的人员支出和公用支出。</w:t>
      </w:r>
    </w:p>
    <w:p>
      <w:p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14.项目支出：指在基本支出之外为完成特定行政任务和事业发展目标所发生的支出。 </w:t>
      </w:r>
    </w:p>
    <w:p>
      <w:pPr>
        <w:ind w:firstLine="640" w:firstLineChars="200"/>
        <w:rPr>
          <w:rFonts w:hint="eastAsia" w:ascii="仿宋" w:hAnsi="仿宋" w:eastAsia="仿宋" w:cs="仿宋"/>
          <w:sz w:val="32"/>
          <w:szCs w:val="32"/>
        </w:rPr>
      </w:pPr>
      <w:r>
        <w:rPr>
          <w:rFonts w:hint="eastAsia" w:ascii="仿宋" w:hAnsi="仿宋" w:eastAsia="仿宋" w:cs="仿宋"/>
          <w:color w:val="000000"/>
          <w:sz w:val="32"/>
          <w:szCs w:val="32"/>
        </w:rPr>
        <w:t>15.</w:t>
      </w:r>
      <w:r>
        <w:rPr>
          <w:rFonts w:hint="eastAsia" w:ascii="仿宋" w:hAnsi="仿宋" w:eastAsia="仿宋" w:cs="仿宋"/>
          <w:sz w:val="32"/>
          <w:szCs w:val="32"/>
        </w:rPr>
        <w:t xml:space="preserve"> “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16.经营支出：指事业单位在专业业务活动及其辅助活动之外开展非独立核算经营活动发生的支出。</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17.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ind w:firstLine="640" w:firstLineChars="200"/>
        <w:rPr>
          <w:rFonts w:hint="eastAsia" w:ascii="仿宋" w:hAnsi="仿宋" w:eastAsia="仿宋" w:cs="仿宋"/>
          <w:color w:val="000000"/>
          <w:kern w:val="0"/>
          <w:sz w:val="32"/>
          <w:szCs w:val="32"/>
        </w:rPr>
      </w:pPr>
    </w:p>
    <w:p>
      <w:pPr>
        <w:ind w:firstLine="4819" w:firstLineChars="1500"/>
        <w:rPr>
          <w:rFonts w:hint="eastAsia" w:ascii="仿宋" w:hAnsi="仿宋" w:eastAsia="仿宋" w:cs="仿宋"/>
          <w:b/>
          <w:color w:val="000000"/>
          <w:sz w:val="32"/>
          <w:szCs w:val="32"/>
          <w:lang w:val="en-US" w:eastAsia="zh-CN"/>
        </w:rPr>
      </w:pPr>
      <w:r>
        <w:rPr>
          <w:rFonts w:hint="eastAsia" w:ascii="仿宋" w:hAnsi="仿宋" w:eastAsia="仿宋" w:cs="仿宋"/>
          <w:b/>
          <w:color w:val="000000"/>
          <w:sz w:val="32"/>
          <w:szCs w:val="32"/>
          <w:lang w:val="en-US" w:eastAsia="zh-CN"/>
        </w:rPr>
        <w:t>苍溪县陵江第一幼儿园</w:t>
      </w:r>
    </w:p>
    <w:p>
      <w:pPr>
        <w:snapToGrid w:val="0"/>
        <w:spacing w:line="460" w:lineRule="exact"/>
        <w:jc w:val="center"/>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 xml:space="preserve">                               </w:t>
      </w:r>
      <w:r>
        <w:rPr>
          <w:rFonts w:hint="eastAsia" w:ascii="仿宋" w:hAnsi="仿宋" w:eastAsia="仿宋" w:cs="仿宋"/>
          <w:color w:val="000000"/>
          <w:sz w:val="30"/>
          <w:szCs w:val="30"/>
        </w:rPr>
        <w:t>2018年0</w:t>
      </w:r>
      <w:r>
        <w:rPr>
          <w:rFonts w:hint="eastAsia" w:ascii="仿宋" w:hAnsi="仿宋" w:eastAsia="仿宋" w:cs="仿宋"/>
          <w:color w:val="000000"/>
          <w:sz w:val="30"/>
          <w:szCs w:val="30"/>
          <w:lang w:val="en-US" w:eastAsia="zh-CN"/>
        </w:rPr>
        <w:t>8</w:t>
      </w:r>
      <w:r>
        <w:rPr>
          <w:rFonts w:hint="eastAsia" w:ascii="仿宋" w:hAnsi="仿宋" w:eastAsia="仿宋" w:cs="仿宋"/>
          <w:color w:val="000000"/>
          <w:sz w:val="30"/>
          <w:szCs w:val="30"/>
        </w:rPr>
        <w:t>月</w:t>
      </w:r>
      <w:r>
        <w:rPr>
          <w:rFonts w:hint="eastAsia" w:ascii="仿宋" w:hAnsi="仿宋" w:eastAsia="仿宋" w:cs="仿宋"/>
          <w:color w:val="000000"/>
          <w:sz w:val="30"/>
          <w:szCs w:val="30"/>
          <w:lang w:val="en-US" w:eastAsia="zh-CN"/>
        </w:rPr>
        <w:t>13</w:t>
      </w:r>
      <w:r>
        <w:rPr>
          <w:rFonts w:hint="eastAsia" w:ascii="仿宋" w:hAnsi="仿宋" w:eastAsia="仿宋" w:cs="仿宋"/>
          <w:color w:val="000000"/>
          <w:sz w:val="30"/>
          <w:szCs w:val="30"/>
        </w:rPr>
        <w:t xml:space="preserve">日 </w:t>
      </w:r>
    </w:p>
    <w:p>
      <w:pPr>
        <w:snapToGrid w:val="0"/>
        <w:spacing w:line="460" w:lineRule="exact"/>
        <w:rPr>
          <w:rFonts w:hint="eastAsia" w:ascii="仿宋" w:hAnsi="仿宋" w:eastAsia="仿宋" w:cs="仿宋"/>
          <w:color w:val="000000"/>
          <w:sz w:val="30"/>
          <w:szCs w:val="30"/>
        </w:rPr>
      </w:pPr>
    </w:p>
    <w:p>
      <w:pPr>
        <w:rPr>
          <w:rFonts w:hint="eastAsia" w:ascii="仿宋" w:hAnsi="仿宋" w:eastAsia="仿宋" w:cs="仿宋"/>
          <w:sz w:val="30"/>
          <w:szCs w:val="30"/>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19DD3D"/>
    <w:multiLevelType w:val="singleLevel"/>
    <w:tmpl w:val="DD19DD3D"/>
    <w:lvl w:ilvl="0" w:tentative="0">
      <w:start w:val="1"/>
      <w:numFmt w:val="chineseCounting"/>
      <w:suff w:val="nothing"/>
      <w:lvlText w:val="%1、"/>
      <w:lvlJc w:val="left"/>
      <w:rPr>
        <w:rFonts w:hint="eastAsia"/>
      </w:rPr>
    </w:lvl>
  </w:abstractNum>
  <w:abstractNum w:abstractNumId="1">
    <w:nsid w:val="59980902"/>
    <w:multiLevelType w:val="singleLevel"/>
    <w:tmpl w:val="59980902"/>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793ACC"/>
    <w:rsid w:val="000A6562"/>
    <w:rsid w:val="003C02E4"/>
    <w:rsid w:val="007358A9"/>
    <w:rsid w:val="008A6F33"/>
    <w:rsid w:val="009C3B45"/>
    <w:rsid w:val="009D3734"/>
    <w:rsid w:val="00A6329F"/>
    <w:rsid w:val="00A73AAC"/>
    <w:rsid w:val="00AC7DE3"/>
    <w:rsid w:val="00BF3DD8"/>
    <w:rsid w:val="028810BA"/>
    <w:rsid w:val="0356544A"/>
    <w:rsid w:val="07DC0110"/>
    <w:rsid w:val="082738DA"/>
    <w:rsid w:val="10F72040"/>
    <w:rsid w:val="11022612"/>
    <w:rsid w:val="11D9473D"/>
    <w:rsid w:val="167C7D47"/>
    <w:rsid w:val="21CC6570"/>
    <w:rsid w:val="225A6A21"/>
    <w:rsid w:val="2CFB7070"/>
    <w:rsid w:val="32842E3F"/>
    <w:rsid w:val="34823643"/>
    <w:rsid w:val="36323AA6"/>
    <w:rsid w:val="39A11E01"/>
    <w:rsid w:val="3A6E09BF"/>
    <w:rsid w:val="45374AF1"/>
    <w:rsid w:val="4C59573B"/>
    <w:rsid w:val="4CDB7A51"/>
    <w:rsid w:val="4D785741"/>
    <w:rsid w:val="4F8E1E2B"/>
    <w:rsid w:val="50573AF7"/>
    <w:rsid w:val="53CC4B40"/>
    <w:rsid w:val="57FB4837"/>
    <w:rsid w:val="588F7DF4"/>
    <w:rsid w:val="5B6039FE"/>
    <w:rsid w:val="5EE367E7"/>
    <w:rsid w:val="5F602EF1"/>
    <w:rsid w:val="62BA240A"/>
    <w:rsid w:val="631F1CAA"/>
    <w:rsid w:val="63B83E50"/>
    <w:rsid w:val="66306899"/>
    <w:rsid w:val="6A272139"/>
    <w:rsid w:val="6DC37156"/>
    <w:rsid w:val="70054517"/>
    <w:rsid w:val="72024B93"/>
    <w:rsid w:val="7673768B"/>
    <w:rsid w:val="776D7062"/>
    <w:rsid w:val="794059CA"/>
    <w:rsid w:val="7B1717CB"/>
    <w:rsid w:val="7B8E5EE2"/>
    <w:rsid w:val="7C793ACC"/>
    <w:rsid w:val="7EE9270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unhideWhenUsed/>
    <w:qFormat/>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qFormat/>
    <w:uiPriority w:val="0"/>
    <w:pPr>
      <w:spacing w:beforeLines="30"/>
    </w:pPr>
    <w:rPr>
      <w:rFonts w:ascii="仿宋_GB2312" w:eastAsia="仿宋_GB2312"/>
      <w:kern w:val="0"/>
      <w:sz w:val="30"/>
    </w:rPr>
  </w:style>
  <w:style w:type="paragraph" w:styleId="3">
    <w:name w:val="Normal (Web)"/>
    <w:basedOn w:val="1"/>
    <w:qFormat/>
    <w:uiPriority w:val="0"/>
    <w:pPr>
      <w:jc w:val="left"/>
    </w:pPr>
    <w:rPr>
      <w:rFonts w:ascii="Calibri" w:hAnsi="Calibri"/>
      <w:kern w:val="0"/>
      <w:sz w:val="24"/>
    </w:rPr>
  </w:style>
  <w:style w:type="character" w:styleId="5">
    <w:name w:val="Strong"/>
    <w:qFormat/>
    <w:uiPriority w:val="0"/>
    <w:rPr>
      <w:b/>
      <w:bCs/>
    </w:rPr>
  </w:style>
  <w:style w:type="paragraph" w:customStyle="1" w:styleId="7">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2033</Words>
  <Characters>363</Characters>
  <Lines>3</Lines>
  <Paragraphs>4</Paragraphs>
  <TotalTime>5</TotalTime>
  <ScaleCrop>false</ScaleCrop>
  <LinksUpToDate>false</LinksUpToDate>
  <CharactersWithSpaces>0</CharactersWithSpaces>
  <Application>WPS Office_10.1.0.7468_F1E327BC-269C-435d-A152-05C5408002CA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2018-02-23T06:18:00Z</dcterms:created>
  <dc:creator>易燃易爆炸</dc:creator>
  <cp:lastModifiedBy>lenovo</cp:lastModifiedBy>
  <dcterms:modified xsi:type="dcterms:W3CDTF">2018-08-29T08:37:33Z</dcterms:modified>
  <dc:title>苍溪县陵江第一幼儿园</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2052-10.1.0.7468</vt:lpwstr>
  </property>
</Properties>
</file>