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5092" w:rsidRPr="00105092" w:rsidRDefault="00105092" w:rsidP="00C93D0B">
      <w:pPr>
        <w:widowControl/>
        <w:spacing w:before="75" w:after="75"/>
        <w:jc w:val="center"/>
        <w:rPr>
          <w:rFonts w:ascii="方正小标宋简体" w:eastAsia="方正小标宋简体" w:hAnsi="宋体" w:cs="Tahoma" w:hint="eastAsia"/>
          <w:b/>
          <w:bCs/>
          <w:color w:val="333333"/>
          <w:kern w:val="0"/>
          <w:sz w:val="40"/>
          <w:szCs w:val="44"/>
        </w:rPr>
      </w:pPr>
      <w:r w:rsidRPr="00105092">
        <w:rPr>
          <w:rFonts w:ascii="方正小标宋简体" w:eastAsia="方正小标宋简体" w:hAnsi="宋体" w:cs="Tahoma" w:hint="eastAsia"/>
          <w:b/>
          <w:bCs/>
          <w:color w:val="333333"/>
          <w:kern w:val="0"/>
          <w:sz w:val="40"/>
          <w:szCs w:val="44"/>
        </w:rPr>
        <w:t>苍溪县浙水乡人民政府</w:t>
      </w:r>
    </w:p>
    <w:p w:rsidR="00C93D0B" w:rsidRPr="00105092" w:rsidRDefault="00C93D0B" w:rsidP="00C93D0B">
      <w:pPr>
        <w:widowControl/>
        <w:spacing w:before="75" w:after="75"/>
        <w:jc w:val="center"/>
        <w:rPr>
          <w:rFonts w:ascii="宋体" w:eastAsia="宋体" w:hAnsi="宋体" w:cs="Tahoma"/>
          <w:b/>
          <w:bCs/>
          <w:color w:val="333333"/>
          <w:kern w:val="0"/>
          <w:sz w:val="40"/>
          <w:szCs w:val="44"/>
        </w:rPr>
      </w:pPr>
      <w:r w:rsidRPr="00105092">
        <w:rPr>
          <w:rFonts w:ascii="方正小标宋简体" w:eastAsia="方正小标宋简体" w:hAnsi="宋体" w:cs="Tahoma" w:hint="eastAsia"/>
          <w:b/>
          <w:bCs/>
          <w:color w:val="333333"/>
          <w:kern w:val="0"/>
          <w:sz w:val="40"/>
          <w:szCs w:val="44"/>
        </w:rPr>
        <w:t>2017年部门决算编制说明</w:t>
      </w:r>
    </w:p>
    <w:p w:rsidR="00C93D0B" w:rsidRPr="00C93D0B" w:rsidRDefault="00C93D0B" w:rsidP="00C93D0B">
      <w:pPr>
        <w:widowControl/>
        <w:spacing w:before="75" w:after="75"/>
        <w:jc w:val="center"/>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 </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一、基本职能及主要工作</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（一）主要职能。</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贯彻落实党和国家在农村的各项方针政策和法律法规，服务“三农”工作。主要围绕促进经济发展、增加农民收入，强化公共服务、着力改善民生，加强社会管理、维护农村稳定，推进基层民主、促进农村和谐四个方面履职。致力稳中求进，提升综合经济实力，致力规划先行，特色产业蓬勃发展，致力项目争取，基础设施全面改善，致力脱贫攻坚，如期实现退出验收，致力民生事业，筑牢社会保障体系，致力新风培育，深入开展六化行动。</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（二）2017年重点工作完成情况。</w:t>
      </w:r>
    </w:p>
    <w:p w:rsidR="00C93D0B" w:rsidRPr="00C93D0B" w:rsidRDefault="00C93D0B" w:rsidP="00C93D0B">
      <w:pPr>
        <w:widowControl/>
        <w:spacing w:before="75" w:after="75"/>
        <w:ind w:firstLine="693"/>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认真贯彻党的十八届三中、四中、五中、六中全会和十九大精神，紧紧围绕县委“</w:t>
      </w:r>
      <w:r w:rsidRPr="00C93D0B">
        <w:rPr>
          <w:rFonts w:ascii="宋体" w:eastAsia="宋体" w:hAnsi="宋体" w:cs="Tahoma" w:hint="eastAsia"/>
          <w:b/>
          <w:bCs/>
          <w:color w:val="333333"/>
          <w:kern w:val="0"/>
          <w:sz w:val="32"/>
          <w:szCs w:val="32"/>
        </w:rPr>
        <w:t>2344</w:t>
      </w:r>
      <w:r w:rsidRPr="00C93D0B">
        <w:rPr>
          <w:rFonts w:ascii="仿宋_GB2312" w:eastAsia="仿宋_GB2312" w:hAnsi="宋体" w:cs="Tahoma" w:hint="eastAsia"/>
          <w:b/>
          <w:bCs/>
          <w:color w:val="333333"/>
          <w:kern w:val="0"/>
          <w:sz w:val="32"/>
          <w:szCs w:val="32"/>
        </w:rPr>
        <w:t>”发展方略，聚焦项目投资、脱贫攻坚、产业发展三大主战场，着力“</w:t>
      </w:r>
      <w:r w:rsidRPr="00C93D0B">
        <w:rPr>
          <w:rFonts w:ascii="宋体" w:eastAsia="宋体" w:hAnsi="宋体" w:cs="Tahoma" w:hint="eastAsia"/>
          <w:b/>
          <w:bCs/>
          <w:color w:val="333333"/>
          <w:kern w:val="0"/>
          <w:sz w:val="32"/>
          <w:szCs w:val="32"/>
        </w:rPr>
        <w:t>1+3</w:t>
      </w:r>
      <w:r w:rsidRPr="00C93D0B">
        <w:rPr>
          <w:rFonts w:ascii="仿宋_GB2312" w:eastAsia="仿宋_GB2312" w:hAnsi="宋体" w:cs="Tahoma" w:hint="eastAsia"/>
          <w:b/>
          <w:bCs/>
          <w:color w:val="333333"/>
          <w:kern w:val="0"/>
          <w:sz w:val="32"/>
          <w:szCs w:val="32"/>
        </w:rPr>
        <w:t>”特色产业发展，全面夯实基础设施建设，稳步推进民生事业，深入开展优化经济发展环境“双提双破”行动，浙水经济和社会各项事业保持良好发展态势。经济发展蒸蒸日上，综合实力明显</w:t>
      </w:r>
      <w:r w:rsidRPr="00C93D0B">
        <w:rPr>
          <w:rFonts w:ascii="仿宋_GB2312" w:eastAsia="仿宋_GB2312" w:hAnsi="宋体" w:cs="Tahoma" w:hint="eastAsia"/>
          <w:b/>
          <w:bCs/>
          <w:color w:val="333333"/>
          <w:kern w:val="0"/>
          <w:sz w:val="32"/>
          <w:szCs w:val="32"/>
        </w:rPr>
        <w:lastRenderedPageBreak/>
        <w:t>增强；脱贫攻坚丝丝入扣，精准脱贫不落一人；产业发展欣欣向荣，助农增收保民无忧；民生保障面面俱到，社会环境和谐稳定。</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二、部门概况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苍溪县浙水乡人民政府（以下简称“本部门”）下属二级单位0个，其中行政单位0个，参照公务员法管理的事业单位0个，其他事业单位0个。</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三、收支决算总体情况说明</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本部门本年收入合计632.84万元，其中：财政拨款收入618.52万元，占97.74%；事业收入0万元，占0%；经营收入0万元，占0%；附属单位上缴收入0万元，占0%；其他收入14.32万元，占2.26%。本年收入较上年度增加0.92万元，增长0.15%。</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本部门本年支出合计754.08万元，其中：基本支出352.16万元，占46.70%；项目支出401.92万元，占53.30%；上缴上级支出0万元，占0%；经营支出0万元，占0%；对附属单位补助支出0万元，占0%。本年支出较上年度增加110.12万元，增长14.60%，增加的主要原因是一般行政管理事务支出中增加了债务置换资金50.5万元。</w:t>
      </w:r>
    </w:p>
    <w:p w:rsidR="00105092" w:rsidRDefault="00105092" w:rsidP="00C93D0B">
      <w:pPr>
        <w:widowControl/>
        <w:spacing w:before="75" w:after="75"/>
        <w:ind w:firstLine="720"/>
        <w:jc w:val="left"/>
        <w:rPr>
          <w:rFonts w:ascii="黑体" w:eastAsia="黑体" w:hAnsi="黑体" w:cs="Tahoma" w:hint="eastAsia"/>
          <w:b/>
          <w:bCs/>
          <w:color w:val="333333"/>
          <w:kern w:val="0"/>
          <w:sz w:val="32"/>
          <w:szCs w:val="32"/>
        </w:rPr>
      </w:pP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lastRenderedPageBreak/>
        <w:t>四、财政拨款收入支出决算总体情况说明</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2017年度财政拨款收入总计797.40万元，财政拨款支出总计797.40万元。与2016年相比，财政拨款收入增加165.48万元,下降20.75%、财政拨款支出增加153.44万元,</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b/>
          <w:bCs/>
          <w:color w:val="333333"/>
          <w:kern w:val="0"/>
          <w:sz w:val="32"/>
          <w:szCs w:val="32"/>
        </w:rPr>
        <w:t>下降19.24%。</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五、一般公共预算财政拨款支出决算情况说明</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（一）一般公共预算财政拨款支出决算总体情况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2017年度一般公共预算财政拨款支出739.76万元，占本年支出合计的100.00%。与2016年相比，一般公共预算财政拨款增加14.32万元，增长1.94%。</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（二）一般公共预算财政拨款支出决算结构情况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一般公共预算财政拨款支出739.76万元，主要用于以下方面:一般公共服务支出281.86万元，占38.10%；文化体育与传媒支出39.39万元，占5.32%；社会保障和就业支出63.08万元，占8.53%；医疗卫生和计划生育支出26.22万元，占3.54%；城乡社区支出6.65万元，占0.90%；农林水支出259.19万元，占35.04%；商业服务业等支出50.5万元,占6.83%；住房保障支出12.87万元，占1.74%。</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lastRenderedPageBreak/>
        <w:t>（三）一般公共预算财政拨款支出决算具体情况</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1.一般公共服务支出（类）政府办公厅（室）及相关机构事务（款）行政运行（项）：</w:t>
      </w:r>
      <w:r w:rsidRPr="00C93D0B">
        <w:rPr>
          <w:rFonts w:ascii="仿宋_GB2312" w:eastAsia="仿宋_GB2312" w:hAnsi="宋体" w:cs="Tahoma" w:hint="eastAsia"/>
          <w:color w:val="333333"/>
          <w:kern w:val="0"/>
          <w:sz w:val="32"/>
          <w:szCs w:val="32"/>
        </w:rPr>
        <w:t>支出决算为206.97万元，完成预算137.68%，决算数大于预算数的主要原因是支出中包括“年初结转和结余资金”；</w:t>
      </w:r>
      <w:r w:rsidRPr="00C93D0B">
        <w:rPr>
          <w:rFonts w:ascii="仿宋_GB2312" w:eastAsia="仿宋_GB2312" w:hAnsi="宋体" w:cs="Tahoma" w:hint="eastAsia"/>
          <w:b/>
          <w:bCs/>
          <w:color w:val="333333"/>
          <w:kern w:val="0"/>
          <w:sz w:val="32"/>
          <w:szCs w:val="32"/>
        </w:rPr>
        <w:t>一般公共服务支出（类）政府办公厅（室）及相关机构事务（款）一般行政管理事务（项）：</w:t>
      </w:r>
      <w:r w:rsidRPr="00C93D0B">
        <w:rPr>
          <w:rFonts w:ascii="仿宋_GB2312" w:eastAsia="仿宋_GB2312" w:hAnsi="宋体" w:cs="Tahoma" w:hint="eastAsia"/>
          <w:color w:val="333333"/>
          <w:kern w:val="0"/>
          <w:sz w:val="32"/>
          <w:szCs w:val="32"/>
        </w:rPr>
        <w:t>支出决算为30.70万元，完成预算114.34%，决算数大于预算数的主要原因是支出中包括“年初结转和结余资金”；</w:t>
      </w:r>
      <w:r w:rsidRPr="00C93D0B">
        <w:rPr>
          <w:rFonts w:ascii="仿宋_GB2312" w:eastAsia="仿宋_GB2312" w:hAnsi="宋体" w:cs="Tahoma" w:hint="eastAsia"/>
          <w:b/>
          <w:bCs/>
          <w:color w:val="333333"/>
          <w:kern w:val="0"/>
          <w:sz w:val="32"/>
          <w:szCs w:val="32"/>
        </w:rPr>
        <w:t>一般公共服务支出（类）政府办公厅（室）及相关机构事务（款）其他政府办公厅（室）及相关机构事务支出（项）：</w:t>
      </w:r>
      <w:r w:rsidRPr="00C93D0B">
        <w:rPr>
          <w:rFonts w:ascii="仿宋_GB2312" w:eastAsia="仿宋_GB2312" w:hAnsi="宋体" w:cs="Tahoma" w:hint="eastAsia"/>
          <w:color w:val="333333"/>
          <w:kern w:val="0"/>
          <w:sz w:val="32"/>
          <w:szCs w:val="32"/>
        </w:rPr>
        <w:t>支出决算为15.90万元，完成预算100%；</w:t>
      </w:r>
      <w:r w:rsidRPr="00C93D0B">
        <w:rPr>
          <w:rFonts w:ascii="仿宋_GB2312" w:eastAsia="仿宋_GB2312" w:hAnsi="宋体" w:cs="Tahoma" w:hint="eastAsia"/>
          <w:b/>
          <w:bCs/>
          <w:color w:val="333333"/>
          <w:kern w:val="0"/>
          <w:sz w:val="32"/>
          <w:szCs w:val="32"/>
        </w:rPr>
        <w:t>一般公共服务支出（类）党委办公厅（室）及相关机构事务（款）行政运行（项）：</w:t>
      </w:r>
      <w:r w:rsidRPr="00C93D0B">
        <w:rPr>
          <w:rFonts w:ascii="仿宋_GB2312" w:eastAsia="仿宋_GB2312" w:hAnsi="宋体" w:cs="Tahoma" w:hint="eastAsia"/>
          <w:color w:val="333333"/>
          <w:kern w:val="0"/>
          <w:sz w:val="32"/>
          <w:szCs w:val="32"/>
        </w:rPr>
        <w:t>支出决算为24.29万元，完成预算100%；</w:t>
      </w:r>
      <w:r w:rsidRPr="00C93D0B">
        <w:rPr>
          <w:rFonts w:ascii="仿宋_GB2312" w:eastAsia="仿宋_GB2312" w:hAnsi="宋体" w:cs="Tahoma" w:hint="eastAsia"/>
          <w:b/>
          <w:bCs/>
          <w:color w:val="333333"/>
          <w:kern w:val="0"/>
          <w:sz w:val="32"/>
          <w:szCs w:val="32"/>
        </w:rPr>
        <w:t>其他组织事务支出：</w:t>
      </w:r>
      <w:r w:rsidRPr="00C93D0B">
        <w:rPr>
          <w:rFonts w:ascii="仿宋_GB2312" w:eastAsia="仿宋_GB2312" w:hAnsi="宋体" w:cs="Tahoma" w:hint="eastAsia"/>
          <w:color w:val="333333"/>
          <w:kern w:val="0"/>
          <w:sz w:val="32"/>
          <w:szCs w:val="32"/>
        </w:rPr>
        <w:t>支出4.00万元，完成预算100%，原因是“年初结转和结余资金”。</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b/>
          <w:bCs/>
          <w:color w:val="333333"/>
          <w:kern w:val="0"/>
          <w:sz w:val="32"/>
          <w:szCs w:val="32"/>
        </w:rPr>
        <w:t>文化体育与传媒支出（类）文化（款）群众文化（项）: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支出决算为13.03万元,完成预算100%；</w:t>
      </w:r>
      <w:r w:rsidRPr="00C93D0B">
        <w:rPr>
          <w:rFonts w:ascii="仿宋_GB2312" w:eastAsia="仿宋_GB2312" w:hAnsi="宋体" w:cs="Tahoma" w:hint="eastAsia"/>
          <w:b/>
          <w:bCs/>
          <w:color w:val="333333"/>
          <w:kern w:val="0"/>
          <w:sz w:val="32"/>
          <w:szCs w:val="32"/>
        </w:rPr>
        <w:t>文化体育与传媒支出（类）新闻出版广播影视（款）广播（项）: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支出决算为7.36万元,完成预算100%；</w:t>
      </w:r>
      <w:r w:rsidRPr="00C93D0B">
        <w:rPr>
          <w:rFonts w:ascii="仿宋_GB2312" w:eastAsia="仿宋_GB2312" w:hAnsi="宋体" w:cs="Tahoma" w:hint="eastAsia"/>
          <w:b/>
          <w:bCs/>
          <w:color w:val="333333"/>
          <w:kern w:val="0"/>
          <w:sz w:val="32"/>
          <w:szCs w:val="32"/>
        </w:rPr>
        <w:t>文化体育与传媒支出（类）新闻出版广播影视（款）其他文化体育与传媒支出</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b/>
          <w:bCs/>
          <w:color w:val="333333"/>
          <w:kern w:val="0"/>
          <w:sz w:val="32"/>
          <w:szCs w:val="32"/>
        </w:rPr>
        <w:t>（项）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b/>
          <w:bCs/>
          <w:color w:val="333333"/>
          <w:kern w:val="0"/>
          <w:sz w:val="32"/>
          <w:szCs w:val="32"/>
        </w:rPr>
        <w:t>:</w:t>
      </w:r>
      <w:r w:rsidRPr="00C93D0B">
        <w:rPr>
          <w:rFonts w:ascii="仿宋_GB2312" w:eastAsia="仿宋_GB2312" w:hAnsi="宋体" w:cs="Tahoma" w:hint="eastAsia"/>
          <w:color w:val="333333"/>
          <w:kern w:val="0"/>
          <w:sz w:val="32"/>
          <w:szCs w:val="32"/>
        </w:rPr>
        <w:t>支出决算为19.00万元,完成预算100%</w:t>
      </w:r>
      <w:r w:rsidRPr="00C93D0B">
        <w:rPr>
          <w:rFonts w:ascii="宋体" w:eastAsia="宋体" w:hAnsi="宋体" w:cs="Tahoma" w:hint="eastAsia"/>
          <w:b/>
          <w:bCs/>
          <w:color w:val="333333"/>
          <w:kern w:val="0"/>
          <w:sz w:val="44"/>
          <w:szCs w:val="44"/>
        </w:rPr>
        <w:t>。</w:t>
      </w:r>
      <w:r w:rsidRPr="00C93D0B">
        <w:rPr>
          <w:rFonts w:ascii="宋体" w:eastAsia="宋体" w:hAnsi="宋体" w:cs="Tahoma" w:hint="eastAsia"/>
          <w:b/>
          <w:bCs/>
          <w:color w:val="333333"/>
          <w:kern w:val="0"/>
          <w:sz w:val="44"/>
          <w:szCs w:val="44"/>
        </w:rPr>
        <w:br/>
      </w:r>
      <w:r w:rsidRPr="00C93D0B">
        <w:rPr>
          <w:rFonts w:ascii="宋体" w:eastAsia="宋体" w:hAnsi="宋体" w:cs="Tahoma" w:hint="eastAsia"/>
          <w:b/>
          <w:bCs/>
          <w:color w:val="333333"/>
          <w:kern w:val="0"/>
          <w:sz w:val="44"/>
          <w:szCs w:val="44"/>
        </w:rPr>
        <w:lastRenderedPageBreak/>
        <w:t>3.社会保障和就业支出（类）行政事业单位离退休（款）机关事业单位基本养老保险缴费支出（项）: </w:t>
      </w:r>
      <w:r w:rsidRPr="00C93D0B">
        <w:rPr>
          <w:rFonts w:ascii="仿宋_GB2312" w:eastAsia="仿宋_GB2312" w:hAnsi="宋体" w:cs="Tahoma" w:hint="eastAsia"/>
          <w:color w:val="333333"/>
          <w:kern w:val="0"/>
          <w:sz w:val="32"/>
          <w:szCs w:val="32"/>
        </w:rPr>
        <w:t>支出决算为33.08万元，完成预算100%；</w:t>
      </w:r>
      <w:r w:rsidRPr="00C93D0B">
        <w:rPr>
          <w:rFonts w:ascii="仿宋_GB2312" w:eastAsia="仿宋_GB2312" w:hAnsi="宋体" w:cs="Tahoma" w:hint="eastAsia"/>
          <w:b/>
          <w:bCs/>
          <w:color w:val="333333"/>
          <w:kern w:val="0"/>
          <w:sz w:val="32"/>
          <w:szCs w:val="32"/>
        </w:rPr>
        <w:t>社会保障和就业支出（类）抚恤（款）其他抚恤支出（项）: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支出决算为30.00万元，完成预算100%。</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4 .医疗卫生与计划生育支出（类）计划生育事务（款）计划生育机构（项）: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支出决算为13.08万元，完成预算100%；</w:t>
      </w:r>
      <w:r w:rsidRPr="00C93D0B">
        <w:rPr>
          <w:rFonts w:ascii="仿宋_GB2312" w:eastAsia="仿宋_GB2312" w:hAnsi="宋体" w:cs="Tahoma" w:hint="eastAsia"/>
          <w:b/>
          <w:bCs/>
          <w:color w:val="333333"/>
          <w:kern w:val="0"/>
          <w:sz w:val="32"/>
          <w:szCs w:val="32"/>
        </w:rPr>
        <w:t>医疗卫生与计划生育支出（类）行政事业单位医疗（款）行政单位医疗（项）: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支出决算为9.56万元，完成预算100%；</w:t>
      </w:r>
      <w:r w:rsidRPr="00C93D0B">
        <w:rPr>
          <w:rFonts w:ascii="仿宋_GB2312" w:eastAsia="仿宋_GB2312" w:hAnsi="宋体" w:cs="Tahoma" w:hint="eastAsia"/>
          <w:b/>
          <w:bCs/>
          <w:color w:val="333333"/>
          <w:kern w:val="0"/>
          <w:sz w:val="32"/>
          <w:szCs w:val="32"/>
        </w:rPr>
        <w:t>医疗卫生与计划生育支出（类）行政事业单位医疗（款）事业单位医疗（项）: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支出决算为3.58万元，完成预算100%。</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5 .城乡社区支出（类）城乡社区管理事务（款）其他城乡社区管理事务（项）: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支出决算为6.65万元，完成预算100%。</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6 .农林水支出（类）农业（款）事业运行（项）: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支出决算为21.69万元，完成预算100%；</w:t>
      </w:r>
      <w:r w:rsidRPr="00C93D0B">
        <w:rPr>
          <w:rFonts w:ascii="仿宋_GB2312" w:eastAsia="仿宋_GB2312" w:hAnsi="宋体" w:cs="Tahoma" w:hint="eastAsia"/>
          <w:b/>
          <w:bCs/>
          <w:color w:val="333333"/>
          <w:kern w:val="0"/>
          <w:sz w:val="32"/>
          <w:szCs w:val="32"/>
        </w:rPr>
        <w:t>农林水支出（类）扶贫（款）其他扶贫支出（项）: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支出决算为13.9万元，完成预算100%；</w:t>
      </w:r>
      <w:r w:rsidRPr="00C93D0B">
        <w:rPr>
          <w:rFonts w:ascii="仿宋_GB2312" w:eastAsia="仿宋_GB2312" w:hAnsi="宋体" w:cs="Tahoma" w:hint="eastAsia"/>
          <w:b/>
          <w:bCs/>
          <w:color w:val="333333"/>
          <w:kern w:val="0"/>
          <w:sz w:val="32"/>
          <w:szCs w:val="32"/>
        </w:rPr>
        <w:t>农林水支出（类）农村综合改革（款）对村民委员会和村党支部的补助（项）: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支出决算为223.60万元，完成预算95.02%，决算数小于预算数的主要原因是村组干部考核报酬部分结转下年支出。</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lastRenderedPageBreak/>
        <w:t>7．商业服务业等支出（类）商业流通事务（款）其他商业流通事务支出（项）: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支出决算为50.50万元，完成预算100%。</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8.住房保障支出（类）住房改革支出（款）住房公积金（项）:</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支出决算为12.87万元，完成预算100%。</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六、一般公共预算财政拨款基本支出决算情况说明</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2017年一般公共预算财政拨款基本支出352.16万元，其中：</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人员经费324.07万元，主要包括：基本工资、津贴补贴、奖金、绩效工资、机关事业单位基本养老保险缴费、其他社会保障缴费、其他工资福利支出、抚恤金、生活补助、医疗费、奖励金、住房公积金、其他对个人和家庭的补助支出。</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公用经费28.09万元，主要包括：办公费、印刷费、咨询费、手续费、水费、电费、邮电费、差旅费、维修（护）费、会议费、培训费、公务接待费、劳务费、工会经费、福利费、其他交通费、其他商品和服务支出、办公设备购置、其他资本性支出等。</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七、“三公”经费财政拨款支出决算情况说明</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（一） “三公”经费财政拨款支出决算总体情况说明</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lastRenderedPageBreak/>
        <w:t>2017年本部门“三公”经费财政拨款支出决算为4.05万元，完成预算81%，决算数小于预算数的主要原因是单位厉行节约,降低接待标准等。</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（二） “三公”经费财政拨款支出决算具体情况说明</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2017年度本部门“三公”经费财政拨款支出决算中，因公出国（境）费支出决算0万元，占0%；公务用车购置及运行维护费支出决算0万元，占0%；公务接待费支出决算4.05万元，占100%。具体情况如下：</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1.因公出国（境）经费支出</w:t>
      </w:r>
      <w:r w:rsidRPr="00C93D0B">
        <w:rPr>
          <w:rFonts w:ascii="仿宋_GB2312" w:eastAsia="仿宋_GB2312" w:hAnsi="宋体" w:cs="Tahoma" w:hint="eastAsia"/>
          <w:b/>
          <w:bCs/>
          <w:color w:val="333333"/>
          <w:kern w:val="0"/>
          <w:sz w:val="32"/>
          <w:szCs w:val="32"/>
        </w:rPr>
        <w:t>0万元。全年安排因公出国（境）团组0次，出国（境）0人。</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2.公务用车购置及运行维护费支出</w:t>
      </w:r>
      <w:r w:rsidRPr="00C93D0B">
        <w:rPr>
          <w:rFonts w:ascii="仿宋_GB2312" w:eastAsia="仿宋_GB2312" w:hAnsi="宋体" w:cs="Tahoma" w:hint="eastAsia"/>
          <w:b/>
          <w:bCs/>
          <w:color w:val="333333"/>
          <w:kern w:val="0"/>
          <w:sz w:val="32"/>
          <w:szCs w:val="32"/>
        </w:rPr>
        <w:t>0万元。其中：</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公务用车购置支出0</w:t>
      </w:r>
      <w:r w:rsidRPr="00C93D0B">
        <w:rPr>
          <w:rFonts w:ascii="仿宋_GB2312" w:eastAsia="仿宋_GB2312" w:hAnsi="宋体" w:cs="Tahoma" w:hint="eastAsia"/>
          <w:b/>
          <w:bCs/>
          <w:color w:val="333333"/>
          <w:kern w:val="0"/>
          <w:sz w:val="32"/>
          <w:szCs w:val="32"/>
        </w:rPr>
        <w:t>万元。全年按规定更新购置公务用车0辆，其中：轿车0辆、金额0万元，越野车0辆、金额0万元，载客汽车0辆、金额0</w:t>
      </w:r>
      <w:r w:rsidRPr="00C93D0B">
        <w:rPr>
          <w:rFonts w:ascii="宋体" w:eastAsia="宋体" w:hAnsi="宋体" w:cs="Tahoma" w:hint="eastAsia"/>
          <w:b/>
          <w:bCs/>
          <w:color w:val="333333"/>
          <w:kern w:val="0"/>
          <w:sz w:val="44"/>
          <w:szCs w:val="44"/>
        </w:rPr>
        <w:t>万元。</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公务用车运行维护费支出0</w:t>
      </w:r>
      <w:r w:rsidRPr="00C93D0B">
        <w:rPr>
          <w:rFonts w:ascii="仿宋_GB2312" w:eastAsia="仿宋_GB2312" w:hAnsi="宋体" w:cs="Tahoma" w:hint="eastAsia"/>
          <w:b/>
          <w:bCs/>
          <w:color w:val="333333"/>
          <w:kern w:val="0"/>
          <w:sz w:val="32"/>
          <w:szCs w:val="32"/>
        </w:rPr>
        <w:t>万元。</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3.公务接待费支出</w:t>
      </w:r>
      <w:r w:rsidRPr="00C93D0B">
        <w:rPr>
          <w:rFonts w:ascii="仿宋_GB2312" w:eastAsia="仿宋_GB2312" w:hAnsi="宋体" w:cs="Tahoma" w:hint="eastAsia"/>
          <w:b/>
          <w:bCs/>
          <w:color w:val="333333"/>
          <w:kern w:val="0"/>
          <w:sz w:val="32"/>
          <w:szCs w:val="32"/>
        </w:rPr>
        <w:t>4.05万元。主要用于执行公务、开展业务活动开支的交通费、住宿费、用餐费等。国内公务接待55批次，1012人次（不包括陪同人员），共计支出4.05万元，具体内容包括：具体内容包括：国内接待55</w:t>
      </w:r>
      <w:r w:rsidRPr="00C93D0B">
        <w:rPr>
          <w:rFonts w:ascii="仿宋_GB2312" w:eastAsia="仿宋_GB2312" w:hAnsi="宋体" w:cs="Tahoma" w:hint="eastAsia"/>
          <w:b/>
          <w:bCs/>
          <w:color w:val="333333"/>
          <w:kern w:val="0"/>
          <w:sz w:val="32"/>
          <w:szCs w:val="32"/>
        </w:rPr>
        <w:lastRenderedPageBreak/>
        <w:t>批次，1012人。主要用于接待招商引资0.3万元，扶贫工作3.10万元，其他工作开支的接待费0.65万元。</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公务接待费支出决算比2017年减少0.91万元，下降18.35%。主要原因是单位厉行节约,</w:t>
      </w:r>
      <w:r w:rsidRPr="00C93D0B">
        <w:rPr>
          <w:rFonts w:ascii="宋体" w:eastAsia="宋体" w:hAnsi="宋体" w:cs="Tahoma" w:hint="eastAsia"/>
          <w:b/>
          <w:bCs/>
          <w:color w:val="333333"/>
          <w:kern w:val="0"/>
          <w:sz w:val="44"/>
          <w:szCs w:val="44"/>
        </w:rPr>
        <w:t>降低接待标准等。</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八、其他重要事项的情况说明</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（一）机关运行经费支出情况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2017年度，本部门机关运行经费支出28.09万元，比2016年减少32.91万元，下降53.95%。</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（二）政府采购支出情况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2017年度，本部门政府采购支出总额0万元，其中：政府采购货物支出0万元、政府采购工程支出0万元、政府采购服务支出0万元。</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（三）国有资产占有使用情况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截至2017年12月31日，浙水乡公有车辆0辆，其中：省部级领导干部用车0辆、一般公务用车0辆；单价50万元以上通用设备0台（套），单价100万元以上专用设备0台（套）。</w:t>
      </w:r>
    </w:p>
    <w:p w:rsidR="00C93D0B" w:rsidRPr="00C93D0B" w:rsidRDefault="00C93D0B" w:rsidP="00C93D0B">
      <w:pPr>
        <w:widowControl/>
        <w:spacing w:before="75" w:after="75"/>
        <w:ind w:firstLine="723"/>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（四）预算绩效情况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1.绩效目标管理情况。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lastRenderedPageBreak/>
        <w:t>按照预算绩效管理要求，本部门未对2017年一般公共预算项目支出开展绩效目标管理，共编制绩效目标0个，涉及财政资金0万元，覆盖率达到0%。</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2.部门整体支出绩效自评开展情况。</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按照预算绩效管理要求，本部门未对2017年整体支出开展绩效自评。</w:t>
      </w:r>
    </w:p>
    <w:p w:rsidR="00C93D0B" w:rsidRPr="00C93D0B" w:rsidRDefault="00C93D0B" w:rsidP="00C93D0B">
      <w:pPr>
        <w:widowControl/>
        <w:spacing w:before="75" w:after="75"/>
        <w:ind w:firstLine="64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 </w:t>
      </w:r>
    </w:p>
    <w:p w:rsidR="00C93D0B" w:rsidRPr="00C93D0B" w:rsidRDefault="00C93D0B" w:rsidP="00C93D0B">
      <w:pPr>
        <w:widowControl/>
        <w:spacing w:before="75" w:after="75"/>
        <w:ind w:firstLine="64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 </w:t>
      </w:r>
    </w:p>
    <w:p w:rsidR="00C93D0B" w:rsidRPr="00C93D0B" w:rsidRDefault="00C93D0B" w:rsidP="00C93D0B">
      <w:pPr>
        <w:widowControl/>
        <w:spacing w:before="75" w:after="75"/>
        <w:ind w:firstLine="64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 </w:t>
      </w:r>
    </w:p>
    <w:p w:rsidR="00C93D0B" w:rsidRPr="00C93D0B" w:rsidRDefault="00C93D0B" w:rsidP="00C93D0B">
      <w:pPr>
        <w:widowControl/>
        <w:spacing w:before="75" w:after="75"/>
        <w:ind w:firstLine="64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 </w:t>
      </w:r>
    </w:p>
    <w:p w:rsidR="00C93D0B" w:rsidRPr="00C93D0B" w:rsidRDefault="00C93D0B" w:rsidP="00C93D0B">
      <w:pPr>
        <w:widowControl/>
        <w:spacing w:before="75" w:after="75"/>
        <w:jc w:val="center"/>
        <w:rPr>
          <w:rFonts w:ascii="宋体" w:eastAsia="宋体" w:hAnsi="宋体" w:cs="Tahoma"/>
          <w:b/>
          <w:bCs/>
          <w:color w:val="333333"/>
          <w:kern w:val="0"/>
          <w:sz w:val="44"/>
          <w:szCs w:val="44"/>
        </w:rPr>
      </w:pPr>
      <w:r w:rsidRPr="00C93D0B">
        <w:rPr>
          <w:rFonts w:ascii="黑体" w:eastAsia="黑体" w:hAnsi="黑体" w:cs="Tahoma" w:hint="eastAsia"/>
          <w:b/>
          <w:bCs/>
          <w:color w:val="333333"/>
          <w:kern w:val="0"/>
          <w:sz w:val="32"/>
          <w:szCs w:val="32"/>
        </w:rPr>
        <w:t>2017年部门整体支出绩效评价得分表</w:t>
      </w:r>
    </w:p>
    <w:p w:rsidR="00C93D0B" w:rsidRPr="00C93D0B" w:rsidRDefault="00C93D0B" w:rsidP="00C93D0B">
      <w:pPr>
        <w:widowControl/>
        <w:spacing w:before="75" w:after="75"/>
        <w:jc w:val="center"/>
        <w:rPr>
          <w:rFonts w:ascii="宋体" w:eastAsia="宋体" w:hAnsi="宋体" w:cs="Tahoma"/>
          <w:b/>
          <w:bCs/>
          <w:color w:val="333333"/>
          <w:kern w:val="0"/>
          <w:sz w:val="44"/>
          <w:szCs w:val="44"/>
        </w:rPr>
      </w:pPr>
      <w:r w:rsidRPr="00C93D0B">
        <w:rPr>
          <w:rFonts w:ascii="Calibri" w:eastAsia="黑体" w:hAnsi="Calibri" w:cs="Calibri"/>
          <w:b/>
          <w:bCs/>
          <w:color w:val="333333"/>
          <w:kern w:val="0"/>
          <w:sz w:val="32"/>
          <w:szCs w:val="32"/>
        </w:rPr>
        <w:t> </w:t>
      </w:r>
    </w:p>
    <w:tbl>
      <w:tblPr>
        <w:tblW w:w="8884" w:type="dxa"/>
        <w:jc w:val="center"/>
        <w:tblBorders>
          <w:top w:val="outset" w:sz="6" w:space="0" w:color="000000"/>
          <w:left w:val="outset" w:sz="6" w:space="0" w:color="000000"/>
          <w:bottom w:val="outset" w:sz="6" w:space="0" w:color="000000"/>
          <w:right w:val="outset" w:sz="6" w:space="0" w:color="000000"/>
        </w:tblBorders>
        <w:tblCellMar>
          <w:top w:w="10" w:type="dxa"/>
          <w:left w:w="10" w:type="dxa"/>
          <w:bottom w:w="10" w:type="dxa"/>
          <w:right w:w="10" w:type="dxa"/>
        </w:tblCellMar>
        <w:tblLook w:val="04A0"/>
      </w:tblPr>
      <w:tblGrid>
        <w:gridCol w:w="1759"/>
        <w:gridCol w:w="2014"/>
        <w:gridCol w:w="3578"/>
        <w:gridCol w:w="1533"/>
      </w:tblGrid>
      <w:tr w:rsidR="00C93D0B" w:rsidRPr="00C93D0B" w:rsidTr="00C93D0B">
        <w:trPr>
          <w:jc w:val="center"/>
        </w:trPr>
        <w:tc>
          <w:tcPr>
            <w:tcW w:w="175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Tahoma" w:eastAsia="宋体" w:hAnsi="Tahoma" w:cs="Tahoma"/>
                <w:b/>
                <w:bCs/>
                <w:kern w:val="0"/>
                <w:sz w:val="18"/>
                <w:szCs w:val="18"/>
              </w:rPr>
              <w:t>一级指标</w:t>
            </w:r>
          </w:p>
        </w:tc>
        <w:tc>
          <w:tcPr>
            <w:tcW w:w="199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b/>
                <w:bCs/>
                <w:kern w:val="0"/>
                <w:sz w:val="20"/>
                <w:szCs w:val="20"/>
              </w:rPr>
              <w:t>二级指标</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b/>
                <w:bCs/>
                <w:kern w:val="0"/>
                <w:sz w:val="20"/>
                <w:szCs w:val="20"/>
              </w:rPr>
              <w:t>三级指标</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b/>
                <w:bCs/>
                <w:kern w:val="0"/>
                <w:sz w:val="20"/>
                <w:szCs w:val="20"/>
              </w:rPr>
              <w:t>得分</w:t>
            </w:r>
          </w:p>
        </w:tc>
      </w:tr>
      <w:tr w:rsidR="00C93D0B" w:rsidRPr="00C93D0B" w:rsidTr="00C93D0B">
        <w:trPr>
          <w:jc w:val="center"/>
        </w:trPr>
        <w:tc>
          <w:tcPr>
            <w:tcW w:w="17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部门决策（25分）</w:t>
            </w: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目标任务（15分）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相关性（5分）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明确性（5分）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合理性（5分）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预算编制（10分）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测算依据（5分）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目标管理（5分）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17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综合管理（30分）</w:t>
            </w:r>
          </w:p>
        </w:tc>
        <w:tc>
          <w:tcPr>
            <w:tcW w:w="199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中期评估（2分）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执行中期评估（2分）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绩效监控（5分）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预算执行进度监控（2分）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绩效目标动态监控（3分）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非税收入执收情况（2分）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非税收入征收情况（1分）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非税收入上缴情况（1分）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资产管理（6分）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资产管理信息化情况（2分）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行政事业单位资产报告情况（2分）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资产管理与预算管理相结合（2分）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内控制度管理（2分）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内部控制度健全完整（2分）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信息公开（8分）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预算公开（3分）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决算公开（3分）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绩效信息公开（2分）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绩效评价（5分）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绩效评价开展（2分）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评价结果应用（3分）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17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部门绩效情况（45分）</w:t>
            </w: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履职成效（20分）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部门特性指标</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left"/>
              <w:rPr>
                <w:rFonts w:ascii="Tahoma" w:eastAsia="宋体" w:hAnsi="Tahoma" w:cs="Tahoma"/>
                <w:kern w:val="0"/>
                <w:sz w:val="18"/>
                <w:szCs w:val="18"/>
              </w:rPr>
            </w:pPr>
            <w:r w:rsidRPr="00C93D0B">
              <w:rPr>
                <w:rFonts w:ascii="宋体" w:eastAsia="宋体" w:hAnsi="宋体" w:cs="Tahoma" w:hint="eastAsia"/>
                <w:kern w:val="0"/>
                <w:sz w:val="20"/>
                <w:szCs w:val="20"/>
              </w:rPr>
              <w:t>可持续发展能力（15分）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重点改革（重点工作）完成情况（5分）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科技（制度、方法、机制等）创新（5分）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人才培养（5分）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满意度（10分）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协作部门满意度（3分）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管理对象满意度（3分）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93D0B" w:rsidRPr="00C93D0B" w:rsidRDefault="00C93D0B" w:rsidP="00C93D0B">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社会公众满意度（4分）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 </w:t>
            </w:r>
          </w:p>
        </w:tc>
      </w:tr>
      <w:tr w:rsidR="00C93D0B" w:rsidRPr="00C93D0B" w:rsidTr="00C93D0B">
        <w:trPr>
          <w:jc w:val="center"/>
        </w:trPr>
        <w:tc>
          <w:tcPr>
            <w:tcW w:w="37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 w:val="20"/>
                <w:szCs w:val="20"/>
              </w:rPr>
              <w:t>总分</w:t>
            </w:r>
          </w:p>
        </w:tc>
        <w:tc>
          <w:tcPr>
            <w:tcW w:w="510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C93D0B" w:rsidRPr="00C93D0B" w:rsidRDefault="00C93D0B" w:rsidP="00C93D0B">
            <w:pPr>
              <w:widowControl/>
              <w:spacing w:before="75" w:after="75"/>
              <w:jc w:val="center"/>
              <w:rPr>
                <w:rFonts w:ascii="Tahoma" w:eastAsia="宋体" w:hAnsi="Tahoma" w:cs="Tahoma"/>
                <w:kern w:val="0"/>
                <w:sz w:val="18"/>
                <w:szCs w:val="18"/>
              </w:rPr>
            </w:pPr>
            <w:r w:rsidRPr="00C93D0B">
              <w:rPr>
                <w:rFonts w:ascii="宋体" w:eastAsia="宋体" w:hAnsi="宋体" w:cs="Tahoma" w:hint="eastAsia"/>
                <w:kern w:val="0"/>
                <w:szCs w:val="21"/>
              </w:rPr>
              <w:t> </w:t>
            </w:r>
          </w:p>
        </w:tc>
      </w:tr>
    </w:tbl>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宋体" w:eastAsia="宋体" w:hAnsi="宋体" w:cs="Tahoma" w:hint="eastAsia"/>
          <w:b/>
          <w:bCs/>
          <w:color w:val="333333"/>
          <w:kern w:val="0"/>
          <w:sz w:val="44"/>
          <w:szCs w:val="44"/>
        </w:rPr>
        <w:t>九、名词解释</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1.财政拨款收入：指县级财政当年拨付的资金。</w:t>
      </w:r>
      <w:r w:rsidRPr="00C93D0B">
        <w:rPr>
          <w:rFonts w:ascii="仿宋_GB2312" w:eastAsia="仿宋_GB2312" w:hAnsi="宋体" w:cs="Tahoma" w:hint="eastAsia"/>
          <w:b/>
          <w:bCs/>
          <w:color w:val="333333"/>
          <w:kern w:val="0"/>
          <w:sz w:val="32"/>
          <w:szCs w:val="32"/>
        </w:rPr>
        <w:t> </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2.事业收入：指事业单位开展专业业务活动及辅助活动所取得的收入。</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lastRenderedPageBreak/>
        <w:t>3.其他收入：指除上述“财政拨款收入”、“事业收入”、“经营收入”等以外的其他收入。主要是债务置换资金、县级主管部门拨款等。</w:t>
      </w:r>
      <w:r w:rsidRPr="00C93D0B">
        <w:rPr>
          <w:rFonts w:ascii="仿宋_GB2312" w:eastAsia="仿宋_GB2312" w:hAnsi="宋体" w:cs="Tahoma" w:hint="eastAsia"/>
          <w:b/>
          <w:bCs/>
          <w:color w:val="333333"/>
          <w:kern w:val="0"/>
          <w:sz w:val="32"/>
          <w:szCs w:val="32"/>
        </w:rPr>
        <w:t> </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4.年初结转和结余：指以前年度尚未完成、结转到本年按有关规定继续使用的资金。</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5.年末结转和结余：指本年度或以前年度预算安排、因客观条件发生变化无法按原计划实施，需延迟到以后年度按有关规定继续使用的资金。</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6.一般公共服务支出（类）政府办公厅（室）及相关机构事务（款）行政运行（项）：指政府机关</w:t>
      </w:r>
      <w:r w:rsidRPr="00C93D0B">
        <w:rPr>
          <w:rFonts w:ascii="仿宋_GB2312" w:eastAsia="仿宋_GB2312" w:hAnsi="宋体" w:cs="Tahoma" w:hint="eastAsia"/>
          <w:b/>
          <w:bCs/>
          <w:color w:val="333333"/>
          <w:kern w:val="0"/>
          <w:sz w:val="32"/>
          <w:szCs w:val="32"/>
        </w:rPr>
        <w:t>用于保障机构正常运行、开展日常工作的基本支出。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一般公共服务支出（类）政府办公厅（室）及相关机构事务（款）一般行政管理事务（项）：指行政单位用于其他</w:t>
      </w:r>
      <w:r w:rsidRPr="00C93D0B">
        <w:rPr>
          <w:rFonts w:ascii="仿宋_GB2312" w:eastAsia="仿宋_GB2312" w:hAnsi="宋体" w:cs="Tahoma" w:hint="eastAsia"/>
          <w:b/>
          <w:bCs/>
          <w:color w:val="333333"/>
          <w:kern w:val="0"/>
          <w:sz w:val="32"/>
          <w:szCs w:val="32"/>
        </w:rPr>
        <w:t>项目支出。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一般公共服务支出（类）政府办公厅（室）及相关机构事务（款）其他政府办公厅（室）及相关机构事务支出（项）：指政府机关用于政权</w:t>
      </w:r>
      <w:r w:rsidRPr="00C93D0B">
        <w:rPr>
          <w:rFonts w:ascii="仿宋_GB2312" w:eastAsia="仿宋_GB2312" w:hAnsi="宋体" w:cs="Tahoma" w:hint="eastAsia"/>
          <w:b/>
          <w:bCs/>
          <w:color w:val="333333"/>
          <w:kern w:val="0"/>
          <w:sz w:val="32"/>
          <w:szCs w:val="32"/>
        </w:rPr>
        <w:t>建设等方面的项目支出。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一般公共服务支出（类）党委办公厅（室）及相关机构事务（款）行政运行（项）：指共产党机关</w:t>
      </w:r>
      <w:r w:rsidRPr="00C93D0B">
        <w:rPr>
          <w:rFonts w:ascii="仿宋_GB2312" w:eastAsia="仿宋_GB2312" w:hAnsi="宋体" w:cs="Tahoma" w:hint="eastAsia"/>
          <w:b/>
          <w:bCs/>
          <w:color w:val="333333"/>
          <w:kern w:val="0"/>
          <w:sz w:val="32"/>
          <w:szCs w:val="32"/>
        </w:rPr>
        <w:t>用于保障机构正常运行、开展日常工作的基本支出</w:t>
      </w:r>
      <w:r w:rsidRPr="00C93D0B">
        <w:rPr>
          <w:rFonts w:ascii="仿宋_GB2312" w:eastAsia="仿宋_GB2312" w:hAnsi="宋体" w:cs="Tahoma" w:hint="eastAsia"/>
          <w:color w:val="333333"/>
          <w:kern w:val="0"/>
          <w:sz w:val="32"/>
          <w:szCs w:val="32"/>
        </w:rPr>
        <w:t>。</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lastRenderedPageBreak/>
        <w:t>7．文化体育与传媒支出（类）文化（款）群众文化（项）: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指文化站</w:t>
      </w:r>
      <w:r w:rsidRPr="00C93D0B">
        <w:rPr>
          <w:rFonts w:ascii="仿宋_GB2312" w:eastAsia="仿宋_GB2312" w:hAnsi="宋体" w:cs="Tahoma" w:hint="eastAsia"/>
          <w:b/>
          <w:bCs/>
          <w:color w:val="333333"/>
          <w:kern w:val="0"/>
          <w:sz w:val="32"/>
          <w:szCs w:val="32"/>
        </w:rPr>
        <w:t>用于保障机构正常运行、开展日常工作的基本支出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文化体育与传媒支出（类）文化（款）其他文化支出（项）: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指用于文化站免费开放的项目支出。；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文化体育与传媒支出（类）新闻出版广播影视（款）广播（项）: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指政府</w:t>
      </w:r>
      <w:r w:rsidRPr="00C93D0B">
        <w:rPr>
          <w:rFonts w:ascii="仿宋_GB2312" w:eastAsia="仿宋_GB2312" w:hAnsi="宋体" w:cs="Tahoma" w:hint="eastAsia"/>
          <w:b/>
          <w:bCs/>
          <w:color w:val="333333"/>
          <w:kern w:val="0"/>
          <w:sz w:val="32"/>
          <w:szCs w:val="32"/>
        </w:rPr>
        <w:t>用于广播部门保障机构正常运行、开展日常工作的基本支出</w:t>
      </w:r>
      <w:r w:rsidRPr="00C93D0B">
        <w:rPr>
          <w:rFonts w:ascii="仿宋_GB2312" w:eastAsia="仿宋_GB2312" w:hAnsi="宋体" w:cs="Tahoma" w:hint="eastAsia"/>
          <w:color w:val="333333"/>
          <w:kern w:val="0"/>
          <w:sz w:val="32"/>
          <w:szCs w:val="32"/>
        </w:rPr>
        <w:t>。</w:t>
      </w:r>
    </w:p>
    <w:p w:rsidR="00C93D0B" w:rsidRPr="00C93D0B" w:rsidRDefault="00C93D0B" w:rsidP="00C93D0B">
      <w:pPr>
        <w:widowControl/>
        <w:spacing w:before="75" w:after="75"/>
        <w:ind w:firstLine="720"/>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文化体育与传媒支出（类）新闻出版广播影视（款）其他文化体育与传媒支出（项）: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指用于文化共享工程的项目支出。</w:t>
      </w:r>
      <w:r w:rsidRPr="00C93D0B">
        <w:rPr>
          <w:rFonts w:ascii="仿宋_GB2312" w:eastAsia="仿宋_GB2312" w:hAnsi="宋体" w:cs="Tahoma" w:hint="eastAsia"/>
          <w:b/>
          <w:bCs/>
          <w:color w:val="333333"/>
          <w:kern w:val="0"/>
          <w:sz w:val="32"/>
          <w:szCs w:val="32"/>
        </w:rPr>
        <w:br/>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 xml:space="preserve">8.社会保障和就业支出（类）行政事业单位离退休（款）机关事业单位基本养老保险缴费支出（项）: </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指单位实施养老保险制度由单位缴纳的养老保险费的支出。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社会保障和就业支出（类）抚恤（款）其他抚恤支出（项）:指用于其他抚恤金的项目支出。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9.</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医疗卫生与计划生育支出（类）计划生育事务（款）计划生育机构（项）: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指政府</w:t>
      </w:r>
      <w:r w:rsidRPr="00C93D0B">
        <w:rPr>
          <w:rFonts w:ascii="仿宋_GB2312" w:eastAsia="仿宋_GB2312" w:hAnsi="宋体" w:cs="Tahoma" w:hint="eastAsia"/>
          <w:b/>
          <w:bCs/>
          <w:color w:val="333333"/>
          <w:kern w:val="0"/>
          <w:sz w:val="32"/>
          <w:szCs w:val="32"/>
        </w:rPr>
        <w:t>用于计生部门保障机构正常运行、开展日常工作的基本支出</w:t>
      </w:r>
      <w:r w:rsidRPr="00C93D0B">
        <w:rPr>
          <w:rFonts w:ascii="仿宋_GB2312" w:eastAsia="仿宋_GB2312" w:hAnsi="宋体" w:cs="Tahoma" w:hint="eastAsia"/>
          <w:color w:val="333333"/>
          <w:kern w:val="0"/>
          <w:sz w:val="32"/>
          <w:szCs w:val="32"/>
        </w:rPr>
        <w:t>。</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医疗卫生与计划生育支出（类）行政事业单位医疗（款）行政单位医疗（项）</w:t>
      </w:r>
      <w:r w:rsidRPr="00C93D0B">
        <w:rPr>
          <w:rFonts w:ascii="宋体" w:eastAsia="宋体" w:hAnsi="宋体" w:cs="Tahoma" w:hint="eastAsia"/>
          <w:b/>
          <w:bCs/>
          <w:color w:val="333333"/>
          <w:kern w:val="0"/>
          <w:sz w:val="44"/>
          <w:szCs w:val="44"/>
        </w:rPr>
        <w:t>:  </w:t>
      </w:r>
      <w:r w:rsidRPr="00C93D0B">
        <w:rPr>
          <w:rFonts w:ascii="仿宋_GB2312" w:eastAsia="仿宋_GB2312" w:hAnsi="宋体" w:cs="Tahoma" w:hint="eastAsia"/>
          <w:b/>
          <w:bCs/>
          <w:color w:val="333333"/>
          <w:kern w:val="0"/>
          <w:sz w:val="32"/>
          <w:szCs w:val="32"/>
        </w:rPr>
        <w:t>指乡机关单位用于缴纳行政（参</w:t>
      </w:r>
      <w:r w:rsidRPr="00C93D0B">
        <w:rPr>
          <w:rFonts w:ascii="仿宋_GB2312" w:eastAsia="仿宋_GB2312" w:hAnsi="宋体" w:cs="Tahoma" w:hint="eastAsia"/>
          <w:b/>
          <w:bCs/>
          <w:color w:val="333333"/>
          <w:kern w:val="0"/>
          <w:sz w:val="32"/>
          <w:szCs w:val="32"/>
        </w:rPr>
        <w:lastRenderedPageBreak/>
        <w:t>公）单位基本医疗保险支出。</w:t>
      </w:r>
      <w:r w:rsidRPr="00C93D0B">
        <w:rPr>
          <w:rFonts w:ascii="仿宋_GB2312" w:eastAsia="仿宋_GB2312" w:hAnsi="宋体" w:cs="Tahoma" w:hint="eastAsia"/>
          <w:b/>
          <w:bCs/>
          <w:color w:val="333333"/>
          <w:kern w:val="0"/>
          <w:sz w:val="28"/>
          <w:szCs w:val="28"/>
        </w:rPr>
        <w:br/>
      </w:r>
      <w:r w:rsidRPr="00C93D0B">
        <w:rPr>
          <w:rFonts w:ascii="仿宋_GB2312" w:eastAsia="仿宋_GB2312" w:hAnsi="宋体" w:cs="Tahoma" w:hint="eastAsia"/>
          <w:color w:val="333333"/>
          <w:kern w:val="0"/>
          <w:sz w:val="32"/>
          <w:szCs w:val="32"/>
        </w:rPr>
        <w:t>医疗卫生与计划生育支出（类）行政事业单位医疗（款）事业单位医疗（项）: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b/>
          <w:bCs/>
          <w:color w:val="333333"/>
          <w:kern w:val="0"/>
          <w:sz w:val="32"/>
          <w:szCs w:val="32"/>
        </w:rPr>
        <w:t>指事业单位用于缴纳单位基本医疗保险支出。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10.</w:t>
      </w:r>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color w:val="333333"/>
          <w:kern w:val="0"/>
          <w:sz w:val="32"/>
          <w:szCs w:val="32"/>
        </w:rPr>
        <w:t>城乡社区支出（类）城乡社区管理事务（款）其他城乡社区管理事务（项）：政府</w:t>
      </w:r>
      <w:r w:rsidRPr="00C93D0B">
        <w:rPr>
          <w:rFonts w:ascii="仿宋_GB2312" w:eastAsia="仿宋_GB2312" w:hAnsi="宋体" w:cs="Tahoma" w:hint="eastAsia"/>
          <w:b/>
          <w:bCs/>
          <w:color w:val="333333"/>
          <w:kern w:val="0"/>
          <w:sz w:val="32"/>
          <w:szCs w:val="32"/>
        </w:rPr>
        <w:t>用于村建部门保障机构正常运行、开展日常工作的基本支出</w:t>
      </w:r>
      <w:r w:rsidRPr="00C93D0B">
        <w:rPr>
          <w:rFonts w:ascii="仿宋_GB2312" w:eastAsia="仿宋_GB2312" w:hAnsi="宋体" w:cs="Tahoma" w:hint="eastAsia"/>
          <w:color w:val="333333"/>
          <w:kern w:val="0"/>
          <w:sz w:val="32"/>
          <w:szCs w:val="32"/>
        </w:rPr>
        <w:t>。</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11.</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 xml:space="preserve">农林水支出（类）农业（款）事业运行（项）: </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指政府</w:t>
      </w:r>
      <w:r w:rsidRPr="00C93D0B">
        <w:rPr>
          <w:rFonts w:ascii="仿宋_GB2312" w:eastAsia="仿宋_GB2312" w:hAnsi="宋体" w:cs="Tahoma" w:hint="eastAsia"/>
          <w:b/>
          <w:bCs/>
          <w:color w:val="333333"/>
          <w:kern w:val="0"/>
          <w:sz w:val="32"/>
          <w:szCs w:val="32"/>
        </w:rPr>
        <w:t>用于农业服务中心保障机构正常运行、开展日常工作的基本支出</w:t>
      </w:r>
      <w:r w:rsidRPr="00C93D0B">
        <w:rPr>
          <w:rFonts w:ascii="仿宋_GB2312" w:eastAsia="仿宋_GB2312" w:hAnsi="宋体" w:cs="Tahoma" w:hint="eastAsia"/>
          <w:color w:val="333333"/>
          <w:kern w:val="0"/>
          <w:sz w:val="32"/>
          <w:szCs w:val="32"/>
        </w:rPr>
        <w:t>。</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农林水支出（类）扶贫（款）其他扶贫支出（项）: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指政府用于扶贫工作方面的支出。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农林水支出（类）农村综合改革（款）对村民委员会和村党支部的补助（项）:指政府用于农村基层组织村组干部报酬、村办公经费和运行经费支出。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12．商业服务业等支出（类）商业流通事务（款）其他商业流通事务支出（项）:</w:t>
      </w:r>
      <w:r w:rsidRPr="00C93D0B">
        <w:rPr>
          <w:rFonts w:ascii="仿宋_GB2312" w:eastAsia="仿宋_GB2312" w:hAnsi="宋体" w:cs="Tahoma" w:hint="eastAsia"/>
          <w:color w:val="333333"/>
          <w:kern w:val="0"/>
          <w:sz w:val="32"/>
          <w:szCs w:val="32"/>
        </w:rPr>
        <w:t> </w:t>
      </w:r>
      <w:r w:rsidRPr="00C93D0B">
        <w:rPr>
          <w:rFonts w:ascii="仿宋_GB2312" w:eastAsia="仿宋_GB2312" w:hAnsi="宋体" w:cs="Tahoma" w:hint="eastAsia"/>
          <w:color w:val="333333"/>
          <w:kern w:val="0"/>
          <w:sz w:val="32"/>
          <w:szCs w:val="32"/>
        </w:rPr>
        <w:t>指政府用于商业流通方面的支出。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color w:val="333333"/>
          <w:kern w:val="0"/>
          <w:sz w:val="32"/>
          <w:szCs w:val="32"/>
        </w:rPr>
        <w:t>13.住房保障支出（类）住房改革支出（款）住房公积金（项）:</w:t>
      </w:r>
      <w:r w:rsidRPr="00C93D0B">
        <w:rPr>
          <w:rFonts w:ascii="仿宋_GB2312" w:eastAsia="仿宋_GB2312" w:hAnsi="宋体" w:cs="Tahoma" w:hint="eastAsia"/>
          <w:b/>
          <w:bCs/>
          <w:color w:val="333333"/>
          <w:kern w:val="0"/>
          <w:sz w:val="28"/>
          <w:szCs w:val="28"/>
        </w:rPr>
        <w:t> </w:t>
      </w:r>
      <w:r w:rsidRPr="00C93D0B">
        <w:rPr>
          <w:rFonts w:ascii="仿宋_GB2312" w:eastAsia="仿宋_GB2312" w:hAnsi="宋体" w:cs="Tahoma" w:hint="eastAsia"/>
          <w:b/>
          <w:bCs/>
          <w:color w:val="333333"/>
          <w:kern w:val="0"/>
          <w:sz w:val="32"/>
          <w:szCs w:val="32"/>
        </w:rPr>
        <w:t>指按照《住房公积金管理条例》的规定，由单位及其在职职工缴存的长期住房储金。</w:t>
      </w:r>
      <w:r w:rsidRPr="00C93D0B">
        <w:rPr>
          <w:rFonts w:ascii="仿宋_GB2312" w:eastAsia="仿宋_GB2312" w:hAnsi="宋体" w:cs="Tahoma" w:hint="eastAsia"/>
          <w:color w:val="333333"/>
          <w:kern w:val="0"/>
          <w:sz w:val="32"/>
          <w:szCs w:val="32"/>
        </w:rPr>
        <w:t> </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lastRenderedPageBreak/>
        <w:t>14.年末结转和结余：指本年度或以前年度预算安排、因客观条件发生变化无法按原计划实施，需延迟到以后年度按有关规定继续使用的资金。</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15.基本支出：指为保障机构正常运转、完成日常工作任务而发生的人员支出和公用支出。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16.项目支出：指在基本支出之外为完成特定行政任务和事业发展目标所发生的支出。</w:t>
      </w:r>
      <w:r w:rsidRPr="00C93D0B">
        <w:rPr>
          <w:rFonts w:ascii="仿宋_GB2312" w:eastAsia="仿宋_GB2312" w:hAnsi="宋体" w:cs="Tahoma" w:hint="eastAsia"/>
          <w:b/>
          <w:bCs/>
          <w:color w:val="333333"/>
          <w:kern w:val="0"/>
          <w:sz w:val="32"/>
          <w:szCs w:val="32"/>
        </w:rPr>
        <w:t> </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17.“三公”经费：纳入县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rsidR="00C93D0B" w:rsidRPr="00C93D0B" w:rsidRDefault="00C93D0B" w:rsidP="00C93D0B">
      <w:pPr>
        <w:widowControl/>
        <w:spacing w:before="75" w:after="75"/>
        <w:ind w:firstLine="716"/>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18.机关运行经费：为保障行政单位（含参照公务员法管理的事业单位）运行用于购买货物和服务的各项资金，包括办公及印刷费、邮电费、差旅费、会议费、福利费、日常维修费、专用材料及一般设备购置费、办公用房水电费、办</w:t>
      </w:r>
      <w:r w:rsidRPr="00C93D0B">
        <w:rPr>
          <w:rFonts w:ascii="仿宋_GB2312" w:eastAsia="仿宋_GB2312" w:hAnsi="宋体" w:cs="Tahoma" w:hint="eastAsia"/>
          <w:b/>
          <w:bCs/>
          <w:color w:val="333333"/>
          <w:kern w:val="0"/>
          <w:sz w:val="32"/>
          <w:szCs w:val="32"/>
        </w:rPr>
        <w:lastRenderedPageBreak/>
        <w:t>公用房取暖费、办公用房物业管理费、公务用车运行维护费以及其他费用。</w:t>
      </w:r>
    </w:p>
    <w:p w:rsidR="00C93D0B" w:rsidRDefault="00C93D0B" w:rsidP="00C93D0B">
      <w:pPr>
        <w:widowControl/>
        <w:spacing w:before="75" w:after="75"/>
        <w:ind w:firstLine="3200"/>
        <w:jc w:val="left"/>
        <w:rPr>
          <w:rFonts w:ascii="仿宋_GB2312" w:eastAsia="仿宋_GB2312" w:hAnsi="宋体" w:cs="Tahoma"/>
          <w:b/>
          <w:bCs/>
          <w:color w:val="333333"/>
          <w:kern w:val="0"/>
          <w:sz w:val="32"/>
          <w:szCs w:val="32"/>
        </w:rPr>
      </w:pPr>
      <w:r w:rsidRPr="00C93D0B">
        <w:rPr>
          <w:rFonts w:ascii="仿宋_GB2312" w:eastAsia="仿宋_GB2312" w:hAnsi="宋体" w:cs="Tahoma" w:hint="eastAsia"/>
          <w:b/>
          <w:bCs/>
          <w:color w:val="333333"/>
          <w:kern w:val="0"/>
          <w:sz w:val="32"/>
          <w:szCs w:val="32"/>
        </w:rPr>
        <w:t>  </w:t>
      </w:r>
    </w:p>
    <w:p w:rsidR="00C93D0B" w:rsidRDefault="00C93D0B" w:rsidP="00C93D0B">
      <w:pPr>
        <w:widowControl/>
        <w:spacing w:before="75" w:after="75"/>
        <w:ind w:firstLineChars="1300" w:firstLine="4160"/>
        <w:jc w:val="left"/>
        <w:rPr>
          <w:rFonts w:ascii="仿宋_GB2312" w:eastAsia="仿宋_GB2312" w:hAnsi="宋体" w:cs="Tahoma"/>
          <w:b/>
          <w:bCs/>
          <w:color w:val="333333"/>
          <w:kern w:val="0"/>
          <w:sz w:val="32"/>
          <w:szCs w:val="32"/>
        </w:rPr>
      </w:pPr>
      <w:bookmarkStart w:id="0" w:name="_GoBack"/>
      <w:bookmarkEnd w:id="0"/>
      <w:r w:rsidRPr="00C93D0B">
        <w:rPr>
          <w:rFonts w:ascii="仿宋_GB2312" w:eastAsia="仿宋_GB2312" w:hAnsi="宋体" w:cs="Tahoma" w:hint="eastAsia"/>
          <w:b/>
          <w:bCs/>
          <w:color w:val="333333"/>
          <w:kern w:val="0"/>
          <w:sz w:val="32"/>
          <w:szCs w:val="32"/>
        </w:rPr>
        <w:t> </w:t>
      </w:r>
      <w:r w:rsidRPr="00C93D0B">
        <w:rPr>
          <w:rFonts w:ascii="仿宋_GB2312" w:eastAsia="仿宋_GB2312" w:hAnsi="宋体" w:cs="Tahoma" w:hint="eastAsia"/>
          <w:b/>
          <w:bCs/>
          <w:color w:val="333333"/>
          <w:kern w:val="0"/>
          <w:sz w:val="32"/>
          <w:szCs w:val="32"/>
        </w:rPr>
        <w:t>苍溪县浙水乡人民政府</w:t>
      </w:r>
    </w:p>
    <w:p w:rsidR="00C93D0B" w:rsidRPr="00C93D0B" w:rsidRDefault="00C93D0B" w:rsidP="00C93D0B">
      <w:pPr>
        <w:widowControl/>
        <w:spacing w:before="75" w:after="75"/>
        <w:ind w:firstLineChars="1500" w:firstLine="4800"/>
        <w:jc w:val="left"/>
        <w:rPr>
          <w:rFonts w:ascii="宋体" w:eastAsia="宋体" w:hAnsi="宋体" w:cs="Tahoma"/>
          <w:b/>
          <w:bCs/>
          <w:color w:val="333333"/>
          <w:kern w:val="0"/>
          <w:sz w:val="44"/>
          <w:szCs w:val="44"/>
        </w:rPr>
      </w:pPr>
      <w:r w:rsidRPr="00C93D0B">
        <w:rPr>
          <w:rFonts w:ascii="仿宋_GB2312" w:eastAsia="仿宋_GB2312" w:hAnsi="宋体" w:cs="Tahoma" w:hint="eastAsia"/>
          <w:b/>
          <w:bCs/>
          <w:color w:val="333333"/>
          <w:kern w:val="0"/>
          <w:sz w:val="32"/>
          <w:szCs w:val="32"/>
        </w:rPr>
        <w:t>2018年8月24日</w:t>
      </w:r>
    </w:p>
    <w:p w:rsidR="00C93D0B" w:rsidRPr="00C93D0B" w:rsidRDefault="00C93D0B"/>
    <w:sectPr w:rsidR="00C93D0B" w:rsidRPr="00C93D0B" w:rsidSect="00EE3CC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7960" w:rsidRDefault="00BD7960" w:rsidP="00105092">
      <w:r>
        <w:separator/>
      </w:r>
    </w:p>
  </w:endnote>
  <w:endnote w:type="continuationSeparator" w:id="0">
    <w:p w:rsidR="00BD7960" w:rsidRDefault="00BD7960" w:rsidP="00105092">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7960" w:rsidRDefault="00BD7960" w:rsidP="00105092">
      <w:r>
        <w:separator/>
      </w:r>
    </w:p>
  </w:footnote>
  <w:footnote w:type="continuationSeparator" w:id="0">
    <w:p w:rsidR="00BD7960" w:rsidRDefault="00BD7960" w:rsidP="001050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93D0B"/>
    <w:rsid w:val="00105092"/>
    <w:rsid w:val="00BD7960"/>
    <w:rsid w:val="00C93D0B"/>
    <w:rsid w:val="00EE3CC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CC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C93D0B"/>
    <w:pPr>
      <w:widowControl/>
      <w:spacing w:before="100" w:beforeAutospacing="1" w:after="100" w:afterAutospacing="1"/>
      <w:jc w:val="left"/>
    </w:pPr>
    <w:rPr>
      <w:rFonts w:ascii="宋体" w:eastAsia="宋体" w:hAnsi="宋体" w:cs="宋体"/>
      <w:kern w:val="0"/>
      <w:sz w:val="24"/>
      <w:szCs w:val="24"/>
    </w:rPr>
  </w:style>
  <w:style w:type="character" w:customStyle="1" w:styleId="Char">
    <w:name w:val="正文文本 Char"/>
    <w:basedOn w:val="a0"/>
    <w:link w:val="a3"/>
    <w:uiPriority w:val="99"/>
    <w:semiHidden/>
    <w:rsid w:val="00C93D0B"/>
    <w:rPr>
      <w:rFonts w:ascii="宋体" w:eastAsia="宋体" w:hAnsi="宋体" w:cs="宋体"/>
      <w:kern w:val="0"/>
      <w:sz w:val="24"/>
      <w:szCs w:val="24"/>
    </w:rPr>
  </w:style>
  <w:style w:type="character" w:customStyle="1" w:styleId="15">
    <w:name w:val="15"/>
    <w:basedOn w:val="a0"/>
    <w:rsid w:val="00C93D0B"/>
  </w:style>
  <w:style w:type="character" w:styleId="a4">
    <w:name w:val="Strong"/>
    <w:basedOn w:val="a0"/>
    <w:uiPriority w:val="22"/>
    <w:qFormat/>
    <w:rsid w:val="00C93D0B"/>
    <w:rPr>
      <w:b/>
      <w:bCs/>
    </w:rPr>
  </w:style>
  <w:style w:type="paragraph" w:customStyle="1" w:styleId="18">
    <w:name w:val="18"/>
    <w:basedOn w:val="a"/>
    <w:rsid w:val="00C93D0B"/>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Char0"/>
    <w:uiPriority w:val="99"/>
    <w:semiHidden/>
    <w:unhideWhenUsed/>
    <w:rsid w:val="0010509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semiHidden/>
    <w:rsid w:val="00105092"/>
    <w:rPr>
      <w:sz w:val="18"/>
      <w:szCs w:val="18"/>
    </w:rPr>
  </w:style>
  <w:style w:type="paragraph" w:styleId="a6">
    <w:name w:val="footer"/>
    <w:basedOn w:val="a"/>
    <w:link w:val="Char1"/>
    <w:uiPriority w:val="99"/>
    <w:semiHidden/>
    <w:unhideWhenUsed/>
    <w:rsid w:val="00105092"/>
    <w:pPr>
      <w:tabs>
        <w:tab w:val="center" w:pos="4153"/>
        <w:tab w:val="right" w:pos="8306"/>
      </w:tabs>
      <w:snapToGrid w:val="0"/>
      <w:jc w:val="left"/>
    </w:pPr>
    <w:rPr>
      <w:sz w:val="18"/>
      <w:szCs w:val="18"/>
    </w:rPr>
  </w:style>
  <w:style w:type="character" w:customStyle="1" w:styleId="Char1">
    <w:name w:val="页脚 Char"/>
    <w:basedOn w:val="a0"/>
    <w:link w:val="a6"/>
    <w:uiPriority w:val="99"/>
    <w:semiHidden/>
    <w:rsid w:val="00105092"/>
    <w:rPr>
      <w:sz w:val="18"/>
      <w:szCs w:val="18"/>
    </w:rPr>
  </w:style>
</w:styles>
</file>

<file path=word/webSettings.xml><?xml version="1.0" encoding="utf-8"?>
<w:webSettings xmlns:r="http://schemas.openxmlformats.org/officeDocument/2006/relationships" xmlns:w="http://schemas.openxmlformats.org/wordprocessingml/2006/main">
  <w:divs>
    <w:div w:id="182157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4D0ED9-4B5E-47D0-8CE5-26035795A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956</Words>
  <Characters>5452</Characters>
  <Application>Microsoft Office Word</Application>
  <DocSecurity>0</DocSecurity>
  <Lines>45</Lines>
  <Paragraphs>12</Paragraphs>
  <ScaleCrop>false</ScaleCrop>
  <Company/>
  <LinksUpToDate>false</LinksUpToDate>
  <CharactersWithSpaces>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 琦</dc:creator>
  <cp:keywords/>
  <dc:description/>
  <cp:lastModifiedBy>Administrator</cp:lastModifiedBy>
  <cp:revision>2</cp:revision>
  <dcterms:created xsi:type="dcterms:W3CDTF">2018-08-29T10:02:00Z</dcterms:created>
  <dcterms:modified xsi:type="dcterms:W3CDTF">2018-08-30T03:33:00Z</dcterms:modified>
</cp:coreProperties>
</file>