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snapToGrid/>
        <w:spacing w:line="576" w:lineRule="exact"/>
        <w:ind w:right="0" w:rightChars="0"/>
        <w:jc w:val="left"/>
        <w:textAlignment w:val="auto"/>
        <w:outlineLvl w:val="9"/>
        <w:rPr>
          <w:rFonts w:hint="default" w:ascii="黑体" w:hAnsi="黑体" w:eastAsia="黑体" w:cs="黑体"/>
          <w:color w:val="auto"/>
          <w:spacing w:val="0"/>
          <w:kern w:val="0"/>
          <w:sz w:val="32"/>
          <w:szCs w:val="32"/>
          <w:lang w:val="en-US" w:eastAsia="zh-CN" w:bidi="ar-SA"/>
        </w:rPr>
      </w:pPr>
      <w:r>
        <w:rPr>
          <w:rFonts w:hint="eastAsia" w:ascii="黑体" w:hAnsi="黑体" w:eastAsia="黑体" w:cs="黑体"/>
          <w:color w:val="auto"/>
          <w:spacing w:val="0"/>
          <w:kern w:val="0"/>
          <w:sz w:val="32"/>
          <w:szCs w:val="32"/>
          <w:lang w:val="en-US" w:eastAsia="zh-CN" w:bidi="ar-SA"/>
        </w:rPr>
        <w:t>附件1</w:t>
      </w:r>
    </w:p>
    <w:p>
      <w:pPr>
        <w:keepNext w:val="0"/>
        <w:keepLines w:val="0"/>
        <w:pageBreakBefore w:val="0"/>
        <w:widowControl w:val="0"/>
        <w:kinsoku/>
        <w:wordWrap/>
        <w:overflowPunct w:val="0"/>
        <w:topLinePunct w:val="0"/>
        <w:autoSpaceDE/>
        <w:autoSpaceDN/>
        <w:bidi w:val="0"/>
        <w:adjustRightInd/>
        <w:snapToGrid/>
        <w:spacing w:line="576" w:lineRule="exact"/>
        <w:ind w:right="0" w:rightChars="0"/>
        <w:jc w:val="center"/>
        <w:textAlignment w:val="auto"/>
        <w:outlineLvl w:val="9"/>
        <w:rPr>
          <w:rFonts w:hint="eastAsia" w:ascii="方正小标宋简体" w:hAnsi="方正小标宋简体" w:eastAsia="方正小标宋简体" w:cs="方正小标宋简体"/>
          <w:b w:val="0"/>
          <w:color w:val="auto"/>
          <w:spacing w:val="0"/>
          <w:kern w:val="0"/>
          <w:sz w:val="44"/>
          <w:szCs w:val="44"/>
          <w:lang w:val="en-US" w:eastAsia="zh-CN" w:bidi="ar-SA"/>
        </w:rPr>
      </w:pPr>
      <w:r>
        <w:rPr>
          <w:rFonts w:hint="eastAsia" w:ascii="仿宋_GB2312" w:hAnsi="仿宋_GB2312" w:eastAsia="仿宋_GB2312" w:cs="仿宋_GB2312"/>
          <w:color w:val="auto"/>
          <w:spacing w:val="0"/>
          <w:kern w:val="0"/>
          <w:sz w:val="32"/>
          <w:szCs w:val="32"/>
          <w:lang w:val="en-US" w:eastAsia="zh-CN" w:bidi="ar-SA"/>
        </w:rPr>
        <w:br w:type="textWrapping"/>
      </w:r>
      <w:r>
        <w:rPr>
          <w:rFonts w:hint="eastAsia" w:ascii="仿宋_GB2312" w:hAnsi="仿宋_GB2312" w:eastAsia="仿宋_GB2312" w:cs="仿宋_GB2312"/>
          <w:color w:val="auto"/>
          <w:spacing w:val="0"/>
          <w:kern w:val="0"/>
          <w:sz w:val="32"/>
          <w:szCs w:val="32"/>
          <w:lang w:val="en-US" w:eastAsia="zh-CN" w:bidi="ar-SA"/>
        </w:rPr>
        <w:t>　　</w:t>
      </w:r>
      <w:bookmarkStart w:id="0" w:name="_GoBack"/>
      <w:r>
        <w:rPr>
          <w:rFonts w:hint="eastAsia" w:ascii="方正小标宋简体" w:hAnsi="方正小标宋简体" w:eastAsia="方正小标宋简体" w:cs="方正小标宋简体"/>
          <w:b w:val="0"/>
          <w:color w:val="auto"/>
          <w:spacing w:val="0"/>
          <w:kern w:val="0"/>
          <w:sz w:val="44"/>
          <w:szCs w:val="44"/>
          <w:lang w:val="en-US" w:eastAsia="zh-CN" w:bidi="ar-SA"/>
        </w:rPr>
        <w:t>原回水缫丝厂国有土地上房屋征收</w:t>
      </w:r>
    </w:p>
    <w:p>
      <w:pPr>
        <w:keepNext w:val="0"/>
        <w:keepLines w:val="0"/>
        <w:pageBreakBefore w:val="0"/>
        <w:widowControl w:val="0"/>
        <w:kinsoku/>
        <w:wordWrap/>
        <w:overflowPunct w:val="0"/>
        <w:topLinePunct w:val="0"/>
        <w:autoSpaceDE/>
        <w:autoSpaceDN/>
        <w:bidi w:val="0"/>
        <w:adjustRightInd/>
        <w:snapToGrid/>
        <w:spacing w:line="576" w:lineRule="exact"/>
        <w:ind w:right="0" w:rightChars="0"/>
        <w:jc w:val="center"/>
        <w:textAlignment w:val="auto"/>
        <w:outlineLvl w:val="9"/>
        <w:rPr>
          <w:rFonts w:hint="eastAsia" w:ascii="宋体" w:hAnsi="宋体" w:eastAsia="宋体" w:cs="宋体"/>
          <w:b w:val="0"/>
          <w:i w:val="0"/>
          <w:caps w:val="0"/>
          <w:color w:val="333333"/>
          <w:spacing w:val="0"/>
          <w:kern w:val="0"/>
          <w:sz w:val="22"/>
          <w:szCs w:val="22"/>
          <w:lang w:val="en-US" w:eastAsia="zh-CN" w:bidi="ar"/>
        </w:rPr>
      </w:pPr>
      <w:r>
        <w:rPr>
          <w:rFonts w:hint="eastAsia" w:ascii="方正小标宋简体" w:hAnsi="方正小标宋简体" w:eastAsia="方正小标宋简体" w:cs="方正小标宋简体"/>
          <w:b w:val="0"/>
          <w:color w:val="auto"/>
          <w:spacing w:val="0"/>
          <w:kern w:val="0"/>
          <w:sz w:val="44"/>
          <w:szCs w:val="44"/>
          <w:lang w:val="en-US" w:eastAsia="zh-CN" w:bidi="ar-SA"/>
        </w:rPr>
        <w:t>与补偿方案</w:t>
      </w:r>
      <w:bookmarkEnd w:id="0"/>
      <w:r>
        <w:rPr>
          <w:rFonts w:hint="eastAsia" w:ascii="黑体" w:hAnsi="黑体" w:eastAsia="黑体" w:cs="黑体"/>
          <w:b w:val="0"/>
          <w:color w:val="auto"/>
          <w:spacing w:val="0"/>
          <w:kern w:val="0"/>
          <w:sz w:val="36"/>
          <w:szCs w:val="36"/>
          <w:lang w:val="en-US" w:eastAsia="zh-CN" w:bidi="ar-SA"/>
        </w:rPr>
        <w:br w:type="textWrapping"/>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kern w:val="0"/>
          <w:sz w:val="32"/>
          <w:szCs w:val="32"/>
        </w:rPr>
      </w:pPr>
      <w:r>
        <w:rPr>
          <w:rFonts w:hint="eastAsia" w:ascii="仿宋_GB2312" w:hAnsi="仿宋_GB2312" w:eastAsia="仿宋_GB2312" w:cs="仿宋_GB2312"/>
          <w:color w:val="auto"/>
          <w:spacing w:val="0"/>
          <w:kern w:val="0"/>
          <w:sz w:val="32"/>
          <w:szCs w:val="32"/>
        </w:rPr>
        <w:t>根据我县国民经济和社会发展规划、土地利用总体规划、城市总体规划，苍溪县人民政府决定实施苍溪县第二人民医院医养中心项目，需征收该建设项目红线范围涉及的原回水缫丝厂国有土地上房屋。为加快推进工作，保障公共利益建设项目的顺利进行，保障被征收人的合法权益，积极稳妥化解历史遗留问题，按照相关政策，结合本征收范围房屋的实际情况，特制定本征收补偿工作方案。</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黑体" w:hAnsi="黑体" w:eastAsia="黑体" w:cs="黑体"/>
          <w:color w:val="auto"/>
          <w:spacing w:val="0"/>
          <w:kern w:val="0"/>
          <w:sz w:val="32"/>
          <w:szCs w:val="32"/>
        </w:rPr>
      </w:pPr>
      <w:r>
        <w:rPr>
          <w:rFonts w:hint="eastAsia" w:ascii="黑体" w:hAnsi="黑体" w:eastAsia="黑体" w:cs="黑体"/>
          <w:color w:val="auto"/>
          <w:spacing w:val="0"/>
          <w:kern w:val="0"/>
          <w:sz w:val="32"/>
          <w:szCs w:val="32"/>
          <w:lang w:eastAsia="zh-CN"/>
        </w:rPr>
        <w:t>一</w:t>
      </w:r>
      <w:r>
        <w:rPr>
          <w:rFonts w:hint="eastAsia" w:ascii="黑体" w:hAnsi="黑体" w:eastAsia="黑体" w:cs="黑体"/>
          <w:color w:val="auto"/>
          <w:spacing w:val="0"/>
          <w:kern w:val="0"/>
          <w:sz w:val="32"/>
          <w:szCs w:val="32"/>
        </w:rPr>
        <w:t>、征收补偿实施原则</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征收补偿坚持依法依规、尊重历史、立足现实、实事求是、民生为先的原则，按程序分步推进，成熟一户</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签约补偿一户，积极稳妥推进征收补偿工作。</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该片区因其特殊的历史原因，涉及原缫丝厂破产受偿资产的征收补偿，只对地上房屋及附属设施予以征收补偿（不含土地使用权价值</w:t>
      </w:r>
      <w:r>
        <w:rPr>
          <w:rFonts w:hint="eastAsia" w:ascii="仿宋_GB2312" w:hAnsi="仿宋_GB2312" w:eastAsia="仿宋_GB2312" w:cs="仿宋_GB2312"/>
          <w:color w:val="auto"/>
          <w:spacing w:val="0"/>
          <w:sz w:val="32"/>
          <w:szCs w:val="32"/>
          <w:lang w:eastAsia="zh-CN"/>
        </w:rPr>
        <w:t>，且李轩户除外</w:t>
      </w:r>
      <w:r>
        <w:rPr>
          <w:rFonts w:hint="eastAsia" w:ascii="仿宋_GB2312" w:hAnsi="仿宋_GB2312" w:eastAsia="仿宋_GB2312" w:cs="仿宋_GB2312"/>
          <w:color w:val="auto"/>
          <w:spacing w:val="0"/>
          <w:sz w:val="32"/>
          <w:szCs w:val="32"/>
        </w:rPr>
        <w:t>）。购买该片区企业破产受偿资产的所有权人，原则上实行货币补偿。货币补偿价值按评估</w:t>
      </w:r>
      <w:r>
        <w:rPr>
          <w:rFonts w:hint="eastAsia" w:ascii="仿宋_GB2312" w:hAnsi="仿宋_GB2312" w:eastAsia="仿宋_GB2312" w:cs="仿宋_GB2312"/>
          <w:color w:val="auto"/>
          <w:spacing w:val="0"/>
          <w:sz w:val="32"/>
          <w:szCs w:val="32"/>
          <w:lang w:eastAsia="zh-CN"/>
        </w:rPr>
        <w:t>情况</w:t>
      </w:r>
      <w:r>
        <w:rPr>
          <w:rFonts w:hint="eastAsia" w:ascii="仿宋_GB2312" w:hAnsi="仿宋_GB2312" w:eastAsia="仿宋_GB2312" w:cs="仿宋_GB2312"/>
          <w:color w:val="auto"/>
          <w:spacing w:val="0"/>
          <w:sz w:val="32"/>
          <w:szCs w:val="32"/>
        </w:rPr>
        <w:t>确定。征收补偿建筑面积以实测面积为准。</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黑体" w:hAnsi="黑体" w:eastAsia="黑体" w:cs="黑体"/>
          <w:color w:val="auto"/>
          <w:spacing w:val="0"/>
          <w:kern w:val="0"/>
          <w:sz w:val="32"/>
          <w:szCs w:val="32"/>
        </w:rPr>
      </w:pPr>
      <w:r>
        <w:rPr>
          <w:rFonts w:hint="eastAsia" w:ascii="黑体" w:hAnsi="黑体" w:eastAsia="黑体" w:cs="黑体"/>
          <w:color w:val="auto"/>
          <w:spacing w:val="0"/>
          <w:kern w:val="0"/>
          <w:sz w:val="32"/>
          <w:szCs w:val="32"/>
          <w:lang w:eastAsia="zh-CN"/>
        </w:rPr>
        <w:t>二</w:t>
      </w:r>
      <w:r>
        <w:rPr>
          <w:rFonts w:hint="eastAsia" w:ascii="黑体" w:hAnsi="黑体" w:eastAsia="黑体" w:cs="黑体"/>
          <w:color w:val="auto"/>
          <w:spacing w:val="0"/>
          <w:kern w:val="0"/>
          <w:sz w:val="32"/>
          <w:szCs w:val="32"/>
        </w:rPr>
        <w:t>、法律及政策依据</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both"/>
        <w:textAlignment w:val="auto"/>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中华人民共和国土地管理法》《中华人民共和国城市房地产管理法》《中华人民共和国城乡规划法》《中华人民共和国物权法》《国有土地上房屋征收与补偿条例》《国有土地上房屋征收评估办法》《四川省国有土地上房屋征收与补偿条例》《广元市征地地上附着物补偿标准及住房拆迁安置办法》《苍溪县人民政府办公室关于进一步加强国有土地上房屋征收与补偿工作的意见》（苍府办发〔2015〕65号）。</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黑体" w:hAnsi="黑体" w:eastAsia="黑体" w:cs="黑体"/>
          <w:color w:val="auto"/>
          <w:spacing w:val="0"/>
          <w:kern w:val="0"/>
          <w:sz w:val="32"/>
          <w:szCs w:val="32"/>
        </w:rPr>
      </w:pPr>
      <w:r>
        <w:rPr>
          <w:rFonts w:hint="eastAsia" w:ascii="黑体" w:hAnsi="黑体" w:eastAsia="黑体" w:cs="黑体"/>
          <w:color w:val="auto"/>
          <w:spacing w:val="0"/>
          <w:kern w:val="0"/>
          <w:sz w:val="32"/>
          <w:szCs w:val="32"/>
          <w:lang w:eastAsia="zh-CN"/>
        </w:rPr>
        <w:t>三</w:t>
      </w:r>
      <w:r>
        <w:rPr>
          <w:rFonts w:hint="eastAsia" w:ascii="黑体" w:hAnsi="黑体" w:eastAsia="黑体" w:cs="黑体"/>
          <w:color w:val="auto"/>
          <w:spacing w:val="0"/>
          <w:kern w:val="0"/>
          <w:sz w:val="32"/>
          <w:szCs w:val="32"/>
        </w:rPr>
        <w:t>、征收范围</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东至：冷冻厂与原缫丝厂职工宿舍楼之间；</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南至：亭子方向公路边居民住宅屋后；</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西至：大桥与原缫丝厂房屋之间的水沟；</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北至：原缫丝厂子弟学校外居民住宅。</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征收范围具体边界以原缫丝厂国有土地使用证宗地图确定的四至边界为准（详见附图</w:t>
      </w:r>
      <w:r>
        <w:rPr>
          <w:rFonts w:hint="eastAsia" w:ascii="仿宋_GB2312" w:hAnsi="仿宋_GB2312" w:eastAsia="仿宋_GB2312" w:cs="仿宋_GB2312"/>
          <w:color w:val="auto"/>
          <w:spacing w:val="0"/>
          <w:sz w:val="32"/>
          <w:szCs w:val="32"/>
          <w:lang w:eastAsia="zh-CN"/>
        </w:rPr>
        <w:t>，移民安置房除外</w:t>
      </w:r>
      <w:r>
        <w:rPr>
          <w:rFonts w:hint="eastAsia" w:ascii="仿宋_GB2312" w:hAnsi="仿宋_GB2312" w:eastAsia="仿宋_GB2312" w:cs="仿宋_GB2312"/>
          <w:color w:val="auto"/>
          <w:spacing w:val="0"/>
          <w:sz w:val="32"/>
          <w:szCs w:val="32"/>
        </w:rPr>
        <w:t>）。</w:t>
      </w:r>
    </w:p>
    <w:p>
      <w:pPr>
        <w:keepNext w:val="0"/>
        <w:keepLines w:val="0"/>
        <w:pageBreakBefore w:val="0"/>
        <w:widowControl w:val="0"/>
        <w:numPr>
          <w:ilvl w:val="0"/>
          <w:numId w:val="0"/>
        </w:numPr>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黑体" w:hAnsi="黑体" w:eastAsia="黑体" w:cs="黑体"/>
          <w:color w:val="auto"/>
          <w:spacing w:val="0"/>
          <w:kern w:val="0"/>
          <w:sz w:val="32"/>
          <w:szCs w:val="32"/>
        </w:rPr>
      </w:pPr>
      <w:r>
        <w:rPr>
          <w:rFonts w:hint="eastAsia" w:ascii="黑体" w:hAnsi="黑体" w:eastAsia="黑体" w:cs="黑体"/>
          <w:color w:val="auto"/>
          <w:spacing w:val="0"/>
          <w:kern w:val="0"/>
          <w:sz w:val="32"/>
          <w:szCs w:val="32"/>
          <w:lang w:eastAsia="zh-CN"/>
        </w:rPr>
        <w:t>四、</w:t>
      </w:r>
      <w:r>
        <w:rPr>
          <w:rFonts w:hint="eastAsia" w:ascii="黑体" w:hAnsi="黑体" w:eastAsia="黑体" w:cs="黑体"/>
          <w:color w:val="auto"/>
          <w:spacing w:val="0"/>
          <w:kern w:val="0"/>
          <w:sz w:val="32"/>
          <w:szCs w:val="32"/>
        </w:rPr>
        <w:t>征收主体</w:t>
      </w:r>
    </w:p>
    <w:p>
      <w:pPr>
        <w:keepNext w:val="0"/>
        <w:keepLines w:val="0"/>
        <w:pageBreakBefore w:val="0"/>
        <w:widowControl w:val="0"/>
        <w:numPr>
          <w:ilvl w:val="0"/>
          <w:numId w:val="0"/>
        </w:numPr>
        <w:kinsoku/>
        <w:wordWrap/>
        <w:overflowPunct w:val="0"/>
        <w:topLinePunct w:val="0"/>
        <w:autoSpaceDE/>
        <w:autoSpaceDN/>
        <w:bidi w:val="0"/>
        <w:adjustRightInd/>
        <w:snapToGrid/>
        <w:spacing w:line="576" w:lineRule="exact"/>
        <w:ind w:leftChars="0" w:right="0" w:rightChars="0" w:firstLine="640" w:firstLineChars="200"/>
        <w:jc w:val="left"/>
        <w:textAlignment w:val="auto"/>
        <w:outlineLvl w:val="9"/>
        <w:rPr>
          <w:rFonts w:hint="eastAsia" w:ascii="仿宋_GB2312" w:hAnsi="仿宋_GB2312" w:eastAsia="仿宋_GB2312" w:cs="仿宋_GB2312"/>
          <w:color w:val="auto"/>
          <w:spacing w:val="0"/>
          <w:sz w:val="32"/>
          <w:szCs w:val="32"/>
          <w:lang w:eastAsia="zh-CN"/>
        </w:rPr>
      </w:pPr>
      <w:r>
        <w:rPr>
          <w:rFonts w:hint="eastAsia" w:ascii="仿宋_GB2312" w:hAnsi="仿宋_GB2312" w:eastAsia="仿宋_GB2312" w:cs="仿宋_GB2312"/>
          <w:color w:val="auto"/>
          <w:spacing w:val="0"/>
          <w:sz w:val="32"/>
          <w:szCs w:val="32"/>
        </w:rPr>
        <w:t>苍溪县人民政府</w:t>
      </w:r>
      <w:r>
        <w:rPr>
          <w:rFonts w:hint="eastAsia" w:ascii="仿宋_GB2312" w:hAnsi="仿宋_GB2312" w:eastAsia="仿宋_GB2312" w:cs="仿宋_GB2312"/>
          <w:color w:val="auto"/>
          <w:spacing w:val="0"/>
          <w:sz w:val="32"/>
          <w:szCs w:val="32"/>
          <w:lang w:eastAsia="zh-CN"/>
        </w:rPr>
        <w:t>。</w:t>
      </w:r>
    </w:p>
    <w:p>
      <w:pPr>
        <w:keepNext w:val="0"/>
        <w:keepLines w:val="0"/>
        <w:pageBreakBefore w:val="0"/>
        <w:widowControl w:val="0"/>
        <w:numPr>
          <w:ilvl w:val="0"/>
          <w:numId w:val="1"/>
        </w:numPr>
        <w:kinsoku/>
        <w:wordWrap/>
        <w:overflowPunct w:val="0"/>
        <w:topLinePunct w:val="0"/>
        <w:autoSpaceDE/>
        <w:autoSpaceDN/>
        <w:bidi w:val="0"/>
        <w:adjustRightInd/>
        <w:snapToGrid/>
        <w:spacing w:line="576" w:lineRule="exact"/>
        <w:ind w:left="0" w:leftChars="0" w:right="0" w:rightChars="0" w:firstLine="640" w:firstLineChars="200"/>
        <w:jc w:val="left"/>
        <w:textAlignment w:val="auto"/>
        <w:outlineLvl w:val="9"/>
        <w:rPr>
          <w:rFonts w:hint="eastAsia" w:ascii="黑体" w:hAnsi="黑体" w:eastAsia="黑体" w:cs="黑体"/>
          <w:color w:val="auto"/>
          <w:spacing w:val="0"/>
          <w:kern w:val="0"/>
          <w:sz w:val="32"/>
          <w:szCs w:val="32"/>
        </w:rPr>
      </w:pPr>
      <w:r>
        <w:rPr>
          <w:rFonts w:hint="eastAsia" w:ascii="黑体" w:hAnsi="黑体" w:eastAsia="黑体" w:cs="黑体"/>
          <w:color w:val="auto"/>
          <w:spacing w:val="0"/>
          <w:kern w:val="0"/>
          <w:sz w:val="32"/>
          <w:szCs w:val="32"/>
          <w:lang w:eastAsia="zh-CN"/>
        </w:rPr>
        <w:t>征收部门</w:t>
      </w:r>
    </w:p>
    <w:p>
      <w:pPr>
        <w:keepNext w:val="0"/>
        <w:keepLines w:val="0"/>
        <w:pageBreakBefore w:val="0"/>
        <w:widowControl w:val="0"/>
        <w:numPr>
          <w:ilvl w:val="0"/>
          <w:numId w:val="0"/>
        </w:numPr>
        <w:kinsoku/>
        <w:wordWrap/>
        <w:overflowPunct w:val="0"/>
        <w:topLinePunct w:val="0"/>
        <w:autoSpaceDE/>
        <w:autoSpaceDN/>
        <w:bidi w:val="0"/>
        <w:adjustRightInd/>
        <w:snapToGrid/>
        <w:spacing w:line="576" w:lineRule="exact"/>
        <w:ind w:leftChars="0" w:right="0" w:righ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lang w:eastAsia="zh-CN"/>
        </w:rPr>
        <w:t>苍溪县自然资源局。</w:t>
      </w:r>
    </w:p>
    <w:p>
      <w:pPr>
        <w:keepNext w:val="0"/>
        <w:keepLines w:val="0"/>
        <w:pageBreakBefore w:val="0"/>
        <w:widowControl w:val="0"/>
        <w:numPr>
          <w:ilvl w:val="0"/>
          <w:numId w:val="1"/>
        </w:numPr>
        <w:kinsoku/>
        <w:wordWrap/>
        <w:overflowPunct w:val="0"/>
        <w:topLinePunct w:val="0"/>
        <w:autoSpaceDE/>
        <w:autoSpaceDN/>
        <w:bidi w:val="0"/>
        <w:adjustRightInd/>
        <w:snapToGrid/>
        <w:spacing w:line="576" w:lineRule="exact"/>
        <w:ind w:left="0" w:leftChars="0" w:right="0" w:rightChars="0" w:firstLine="640" w:firstLineChars="200"/>
        <w:jc w:val="left"/>
        <w:textAlignment w:val="auto"/>
        <w:outlineLvl w:val="9"/>
        <w:rPr>
          <w:rFonts w:hint="eastAsia" w:ascii="黑体" w:hAnsi="黑体" w:eastAsia="黑体" w:cs="黑体"/>
          <w:color w:val="auto"/>
          <w:spacing w:val="0"/>
          <w:kern w:val="0"/>
          <w:sz w:val="32"/>
          <w:szCs w:val="32"/>
        </w:rPr>
      </w:pPr>
      <w:r>
        <w:rPr>
          <w:rFonts w:hint="eastAsia" w:ascii="黑体" w:hAnsi="黑体" w:eastAsia="黑体" w:cs="黑体"/>
          <w:color w:val="auto"/>
          <w:spacing w:val="0"/>
          <w:kern w:val="0"/>
          <w:sz w:val="32"/>
          <w:szCs w:val="32"/>
        </w:rPr>
        <w:t>房屋征收实施单位</w:t>
      </w:r>
    </w:p>
    <w:p>
      <w:pPr>
        <w:keepNext w:val="0"/>
        <w:keepLines w:val="0"/>
        <w:pageBreakBefore w:val="0"/>
        <w:widowControl w:val="0"/>
        <w:numPr>
          <w:ilvl w:val="0"/>
          <w:numId w:val="0"/>
        </w:numPr>
        <w:kinsoku/>
        <w:wordWrap/>
        <w:overflowPunct w:val="0"/>
        <w:topLinePunct w:val="0"/>
        <w:autoSpaceDE/>
        <w:autoSpaceDN/>
        <w:bidi w:val="0"/>
        <w:adjustRightInd/>
        <w:snapToGrid/>
        <w:spacing w:line="576" w:lineRule="exact"/>
        <w:ind w:leftChars="0" w:right="0" w:rightChars="0" w:firstLine="640" w:firstLineChars="200"/>
        <w:jc w:val="left"/>
        <w:textAlignment w:val="auto"/>
        <w:outlineLvl w:val="9"/>
        <w:rPr>
          <w:rFonts w:hint="eastAsia" w:ascii="仿宋_GB2312" w:hAnsi="仿宋_GB2312" w:eastAsia="仿宋_GB2312" w:cs="仿宋_GB2312"/>
          <w:color w:val="auto"/>
          <w:spacing w:val="0"/>
          <w:sz w:val="32"/>
          <w:szCs w:val="32"/>
          <w:lang w:eastAsia="zh-CN"/>
        </w:rPr>
      </w:pPr>
      <w:r>
        <w:rPr>
          <w:rFonts w:hint="eastAsia" w:ascii="仿宋_GB2312" w:hAnsi="仿宋_GB2312" w:eastAsia="仿宋_GB2312" w:cs="仿宋_GB2312"/>
          <w:color w:val="auto"/>
          <w:spacing w:val="0"/>
          <w:sz w:val="32"/>
          <w:szCs w:val="32"/>
        </w:rPr>
        <w:t>苍溪县</w:t>
      </w:r>
      <w:r>
        <w:rPr>
          <w:rFonts w:hint="eastAsia" w:ascii="仿宋_GB2312" w:hAnsi="仿宋_GB2312" w:eastAsia="仿宋_GB2312" w:cs="仿宋_GB2312"/>
          <w:color w:val="auto"/>
          <w:spacing w:val="0"/>
          <w:sz w:val="32"/>
          <w:szCs w:val="32"/>
          <w:lang w:eastAsia="zh-CN"/>
        </w:rPr>
        <w:t>土地整理收购储备交易中心。</w:t>
      </w:r>
    </w:p>
    <w:p>
      <w:pPr>
        <w:keepNext w:val="0"/>
        <w:keepLines w:val="0"/>
        <w:pageBreakBefore w:val="0"/>
        <w:widowControl w:val="0"/>
        <w:numPr>
          <w:ilvl w:val="0"/>
          <w:numId w:val="1"/>
        </w:numPr>
        <w:kinsoku/>
        <w:wordWrap/>
        <w:overflowPunct w:val="0"/>
        <w:topLinePunct w:val="0"/>
        <w:autoSpaceDE/>
        <w:autoSpaceDN/>
        <w:bidi w:val="0"/>
        <w:adjustRightInd/>
        <w:snapToGrid/>
        <w:spacing w:line="576" w:lineRule="exact"/>
        <w:ind w:left="0" w:leftChars="0" w:right="0" w:rightChars="0" w:firstLine="640" w:firstLineChars="200"/>
        <w:jc w:val="left"/>
        <w:textAlignment w:val="auto"/>
        <w:outlineLvl w:val="9"/>
        <w:rPr>
          <w:rFonts w:hint="eastAsia" w:ascii="黑体" w:hAnsi="黑体" w:eastAsia="黑体" w:cs="黑体"/>
          <w:color w:val="auto"/>
          <w:spacing w:val="0"/>
          <w:kern w:val="0"/>
          <w:sz w:val="32"/>
          <w:szCs w:val="32"/>
        </w:rPr>
      </w:pPr>
      <w:r>
        <w:rPr>
          <w:rFonts w:hint="eastAsia" w:ascii="黑体" w:hAnsi="黑体" w:eastAsia="黑体" w:cs="黑体"/>
          <w:color w:val="auto"/>
          <w:spacing w:val="0"/>
          <w:kern w:val="0"/>
          <w:sz w:val="32"/>
          <w:szCs w:val="32"/>
        </w:rPr>
        <w:t>征收补偿方式</w:t>
      </w:r>
    </w:p>
    <w:p>
      <w:pPr>
        <w:keepNext w:val="0"/>
        <w:keepLines w:val="0"/>
        <w:pageBreakBefore w:val="0"/>
        <w:widowControl w:val="0"/>
        <w:numPr>
          <w:ilvl w:val="0"/>
          <w:numId w:val="0"/>
        </w:numPr>
        <w:kinsoku/>
        <w:wordWrap/>
        <w:overflowPunct w:val="0"/>
        <w:topLinePunct w:val="0"/>
        <w:autoSpaceDE/>
        <w:autoSpaceDN/>
        <w:bidi w:val="0"/>
        <w:adjustRightInd/>
        <w:snapToGrid/>
        <w:spacing w:line="576" w:lineRule="exact"/>
        <w:ind w:leftChars="0" w:right="0" w:rightChars="0" w:firstLine="640" w:firstLineChars="200"/>
        <w:jc w:val="left"/>
        <w:textAlignment w:val="auto"/>
        <w:outlineLvl w:val="9"/>
        <w:rPr>
          <w:rFonts w:hint="eastAsia" w:ascii="仿宋_GB2312" w:hAnsi="仿宋_GB2312" w:eastAsia="仿宋_GB2312" w:cs="仿宋_GB2312"/>
          <w:color w:val="auto"/>
          <w:spacing w:val="0"/>
          <w:sz w:val="32"/>
          <w:szCs w:val="32"/>
          <w:lang w:eastAsia="zh-CN"/>
        </w:rPr>
      </w:pPr>
      <w:r>
        <w:rPr>
          <w:rFonts w:hint="eastAsia" w:ascii="仿宋_GB2312" w:hAnsi="仿宋_GB2312" w:eastAsia="仿宋_GB2312" w:cs="仿宋_GB2312"/>
          <w:color w:val="auto"/>
          <w:spacing w:val="0"/>
          <w:sz w:val="32"/>
          <w:szCs w:val="32"/>
        </w:rPr>
        <w:t>货币补偿</w:t>
      </w:r>
      <w:r>
        <w:rPr>
          <w:rFonts w:hint="eastAsia" w:ascii="仿宋_GB2312" w:hAnsi="仿宋_GB2312" w:eastAsia="仿宋_GB2312" w:cs="仿宋_GB2312"/>
          <w:color w:val="auto"/>
          <w:spacing w:val="0"/>
          <w:sz w:val="32"/>
          <w:szCs w:val="32"/>
          <w:lang w:eastAsia="zh-CN"/>
        </w:rPr>
        <w:t>。</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黑体" w:hAnsi="黑体" w:eastAsia="黑体" w:cs="黑体"/>
          <w:color w:val="auto"/>
          <w:spacing w:val="0"/>
          <w:kern w:val="0"/>
          <w:sz w:val="32"/>
          <w:szCs w:val="32"/>
        </w:rPr>
      </w:pPr>
      <w:r>
        <w:rPr>
          <w:rFonts w:hint="eastAsia" w:ascii="黑体" w:hAnsi="黑体" w:eastAsia="黑体" w:cs="黑体"/>
          <w:color w:val="auto"/>
          <w:spacing w:val="0"/>
          <w:kern w:val="0"/>
          <w:sz w:val="32"/>
          <w:szCs w:val="32"/>
          <w:lang w:eastAsia="zh-CN"/>
        </w:rPr>
        <w:t>八</w:t>
      </w:r>
      <w:r>
        <w:rPr>
          <w:rFonts w:hint="eastAsia" w:ascii="黑体" w:hAnsi="黑体" w:eastAsia="黑体" w:cs="黑体"/>
          <w:color w:val="auto"/>
          <w:spacing w:val="0"/>
          <w:kern w:val="0"/>
          <w:sz w:val="32"/>
          <w:szCs w:val="32"/>
        </w:rPr>
        <w:t>、被征收房屋类型</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lang w:eastAsia="zh-CN"/>
        </w:rPr>
        <w:t>（一）</w:t>
      </w:r>
      <w:r>
        <w:rPr>
          <w:rFonts w:hint="eastAsia" w:ascii="仿宋_GB2312" w:hAnsi="仿宋_GB2312" w:eastAsia="仿宋_GB2312" w:cs="仿宋_GB2312"/>
          <w:color w:val="auto"/>
          <w:spacing w:val="0"/>
          <w:sz w:val="32"/>
          <w:szCs w:val="32"/>
          <w:lang w:eastAsia="zh-CN"/>
        </w:rPr>
        <w:t>生产性企业</w:t>
      </w:r>
      <w:r>
        <w:rPr>
          <w:rFonts w:hint="eastAsia" w:ascii="仿宋_GB2312" w:hAnsi="仿宋_GB2312" w:eastAsia="仿宋_GB2312" w:cs="仿宋_GB2312"/>
          <w:color w:val="auto"/>
          <w:spacing w:val="0"/>
          <w:sz w:val="32"/>
          <w:szCs w:val="32"/>
        </w:rPr>
        <w:t>房屋：国有工业用地上房屋，包括厂房、办公用房、宿舍、配套用房。</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lang w:eastAsia="zh-CN"/>
        </w:rPr>
        <w:t>（二）</w:t>
      </w:r>
      <w:r>
        <w:rPr>
          <w:rFonts w:hint="eastAsia" w:ascii="仿宋_GB2312" w:hAnsi="仿宋_GB2312" w:eastAsia="仿宋_GB2312" w:cs="仿宋_GB2312"/>
          <w:color w:val="auto"/>
          <w:spacing w:val="0"/>
          <w:sz w:val="32"/>
          <w:szCs w:val="32"/>
        </w:rPr>
        <w:t>附属设施。</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黑体" w:hAnsi="黑体" w:eastAsia="黑体" w:cs="黑体"/>
          <w:color w:val="auto"/>
          <w:spacing w:val="0"/>
          <w:kern w:val="0"/>
          <w:sz w:val="32"/>
          <w:szCs w:val="32"/>
        </w:rPr>
      </w:pPr>
      <w:r>
        <w:rPr>
          <w:rFonts w:hint="eastAsia" w:ascii="黑体" w:hAnsi="黑体" w:eastAsia="黑体" w:cs="黑体"/>
          <w:color w:val="auto"/>
          <w:spacing w:val="0"/>
          <w:kern w:val="0"/>
          <w:sz w:val="32"/>
          <w:szCs w:val="32"/>
        </w:rPr>
        <w:t>九、被征收房屋的补偿内容</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lang w:eastAsia="zh-CN"/>
        </w:rPr>
        <w:t>（一）</w:t>
      </w:r>
      <w:r>
        <w:rPr>
          <w:rFonts w:hint="eastAsia" w:ascii="仿宋_GB2312" w:hAnsi="仿宋_GB2312" w:eastAsia="仿宋_GB2312" w:cs="仿宋_GB2312"/>
          <w:color w:val="auto"/>
          <w:spacing w:val="0"/>
          <w:sz w:val="32"/>
          <w:szCs w:val="32"/>
        </w:rPr>
        <w:t>被征收房屋价值补偿。对房</w:t>
      </w:r>
      <w:r>
        <w:rPr>
          <w:rFonts w:hint="eastAsia" w:ascii="仿宋_GB2312" w:hAnsi="仿宋_GB2312" w:eastAsia="仿宋_GB2312" w:cs="仿宋_GB2312"/>
          <w:color w:val="auto"/>
          <w:spacing w:val="0"/>
          <w:sz w:val="32"/>
          <w:szCs w:val="32"/>
          <w:lang w:eastAsia="zh-CN"/>
        </w:rPr>
        <w:t>屋</w:t>
      </w:r>
      <w:r>
        <w:rPr>
          <w:rFonts w:hint="eastAsia" w:ascii="仿宋_GB2312" w:hAnsi="仿宋_GB2312" w:eastAsia="仿宋_GB2312" w:cs="仿宋_GB2312"/>
          <w:color w:val="auto"/>
          <w:spacing w:val="0"/>
          <w:sz w:val="32"/>
          <w:szCs w:val="32"/>
        </w:rPr>
        <w:t>产权人按房屋征收决定公告之日被征收房屋的类似房产的市场价格实行货币补偿。市场价格由依法选定的评估机构通过评估确定。</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lang w:eastAsia="zh-CN"/>
        </w:rPr>
        <w:t>（二）</w:t>
      </w:r>
      <w:r>
        <w:rPr>
          <w:rFonts w:hint="eastAsia" w:ascii="仿宋_GB2312" w:hAnsi="仿宋_GB2312" w:eastAsia="仿宋_GB2312" w:cs="仿宋_GB2312"/>
          <w:color w:val="auto"/>
          <w:spacing w:val="0"/>
          <w:sz w:val="32"/>
          <w:szCs w:val="32"/>
        </w:rPr>
        <w:t>因征收房屋造成的搬迁</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临时安置</w:t>
      </w:r>
      <w:r>
        <w:rPr>
          <w:rFonts w:hint="eastAsia" w:ascii="仿宋_GB2312" w:hAnsi="仿宋_GB2312" w:eastAsia="仿宋_GB2312" w:cs="仿宋_GB2312"/>
          <w:color w:val="auto"/>
          <w:spacing w:val="0"/>
          <w:sz w:val="32"/>
          <w:szCs w:val="32"/>
          <w:lang w:eastAsia="zh-CN"/>
        </w:rPr>
        <w:t>的</w:t>
      </w:r>
      <w:r>
        <w:rPr>
          <w:rFonts w:hint="eastAsia" w:ascii="仿宋_GB2312" w:hAnsi="仿宋_GB2312" w:eastAsia="仿宋_GB2312" w:cs="仿宋_GB2312"/>
          <w:color w:val="auto"/>
          <w:spacing w:val="0"/>
          <w:sz w:val="32"/>
          <w:szCs w:val="32"/>
        </w:rPr>
        <w:t>补偿。房屋腾空后，一次性支付被征收人</w:t>
      </w:r>
      <w:r>
        <w:rPr>
          <w:rFonts w:hint="eastAsia" w:ascii="仿宋_GB2312" w:hAnsi="仿宋_GB2312" w:eastAsia="仿宋_GB2312" w:cs="仿宋_GB2312"/>
          <w:color w:val="auto"/>
          <w:spacing w:val="0"/>
          <w:sz w:val="32"/>
          <w:szCs w:val="32"/>
          <w:lang w:eastAsia="zh-CN"/>
        </w:rPr>
        <w:t>（或承租人）</w:t>
      </w:r>
      <w:r>
        <w:rPr>
          <w:rFonts w:hint="eastAsia" w:ascii="仿宋_GB2312" w:hAnsi="仿宋_GB2312" w:eastAsia="仿宋_GB2312" w:cs="仿宋_GB2312"/>
          <w:color w:val="auto"/>
          <w:spacing w:val="0"/>
          <w:sz w:val="32"/>
          <w:szCs w:val="32"/>
        </w:rPr>
        <w:t>搬迁费和临时安置费。临时安置费按</w:t>
      </w:r>
      <w:r>
        <w:rPr>
          <w:rFonts w:hint="eastAsia" w:ascii="仿宋_GB2312" w:hAnsi="仿宋_GB2312" w:eastAsia="仿宋_GB2312" w:cs="仿宋_GB2312"/>
          <w:color w:val="auto"/>
          <w:spacing w:val="0"/>
          <w:sz w:val="32"/>
          <w:szCs w:val="32"/>
          <w:lang w:val="en-US" w:eastAsia="zh-CN"/>
        </w:rPr>
        <w:t>3</w:t>
      </w:r>
      <w:r>
        <w:rPr>
          <w:rFonts w:hint="eastAsia" w:ascii="仿宋_GB2312" w:hAnsi="仿宋_GB2312" w:eastAsia="仿宋_GB2312" w:cs="仿宋_GB2312"/>
          <w:color w:val="auto"/>
          <w:spacing w:val="0"/>
          <w:sz w:val="32"/>
          <w:szCs w:val="32"/>
        </w:rPr>
        <w:t>个月计发，按被征收房屋</w:t>
      </w:r>
      <w:r>
        <w:rPr>
          <w:rFonts w:hint="eastAsia" w:ascii="仿宋_GB2312" w:hAnsi="仿宋_GB2312" w:eastAsia="仿宋_GB2312" w:cs="仿宋_GB2312"/>
          <w:color w:val="auto"/>
          <w:spacing w:val="0"/>
          <w:sz w:val="32"/>
          <w:szCs w:val="32"/>
          <w:lang w:eastAsia="zh-CN"/>
        </w:rPr>
        <w:t>合法</w:t>
      </w:r>
      <w:r>
        <w:rPr>
          <w:rFonts w:hint="eastAsia" w:ascii="仿宋_GB2312" w:hAnsi="仿宋_GB2312" w:eastAsia="仿宋_GB2312" w:cs="仿宋_GB2312"/>
          <w:color w:val="auto"/>
          <w:spacing w:val="0"/>
          <w:sz w:val="32"/>
          <w:szCs w:val="32"/>
        </w:rPr>
        <w:t>建筑面积每月每平方米1</w:t>
      </w:r>
      <w:r>
        <w:rPr>
          <w:rFonts w:hint="eastAsia" w:ascii="仿宋_GB2312" w:hAnsi="仿宋_GB2312" w:eastAsia="仿宋_GB2312" w:cs="仿宋_GB2312"/>
          <w:color w:val="auto"/>
          <w:spacing w:val="0"/>
          <w:sz w:val="32"/>
          <w:szCs w:val="32"/>
          <w:lang w:val="en-US" w:eastAsia="zh-CN"/>
        </w:rPr>
        <w:t>0</w:t>
      </w:r>
      <w:r>
        <w:rPr>
          <w:rFonts w:hint="eastAsia" w:ascii="仿宋_GB2312" w:hAnsi="仿宋_GB2312" w:eastAsia="仿宋_GB2312" w:cs="仿宋_GB2312"/>
          <w:color w:val="auto"/>
          <w:spacing w:val="0"/>
          <w:sz w:val="32"/>
          <w:szCs w:val="32"/>
        </w:rPr>
        <w:t>元予以补偿；搬迁费委托依法选定的评估机构评估确定。</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lang w:eastAsia="zh-CN"/>
        </w:rPr>
        <w:t>（三）</w:t>
      </w:r>
      <w:r>
        <w:rPr>
          <w:rFonts w:hint="eastAsia" w:ascii="仿宋_GB2312" w:hAnsi="仿宋_GB2312" w:eastAsia="仿宋_GB2312" w:cs="仿宋_GB2312"/>
          <w:color w:val="auto"/>
          <w:spacing w:val="0"/>
          <w:sz w:val="32"/>
          <w:szCs w:val="32"/>
        </w:rPr>
        <w:t>因征收房屋造成的停产停业损失补偿。被征收房屋符合本方案和相关法律、文件规定给予停产停业损失补偿条件的，委托评估机构参照房屋被征收前经营主体上年度总营业收入、</w:t>
      </w:r>
      <w:r>
        <w:rPr>
          <w:rFonts w:hint="eastAsia" w:ascii="仿宋_GB2312" w:hAnsi="仿宋_GB2312" w:eastAsia="仿宋_GB2312" w:cs="仿宋_GB2312"/>
          <w:color w:val="auto"/>
          <w:spacing w:val="0"/>
          <w:sz w:val="32"/>
          <w:szCs w:val="32"/>
          <w:lang w:eastAsia="zh-CN"/>
        </w:rPr>
        <w:t>纳税情况、</w:t>
      </w:r>
      <w:r>
        <w:rPr>
          <w:rFonts w:hint="eastAsia" w:ascii="仿宋_GB2312" w:hAnsi="仿宋_GB2312" w:eastAsia="仿宋_GB2312" w:cs="仿宋_GB2312"/>
          <w:color w:val="auto"/>
          <w:spacing w:val="0"/>
          <w:sz w:val="32"/>
          <w:szCs w:val="32"/>
        </w:rPr>
        <w:t>同类同地段房屋市场租金、从业人员数量</w:t>
      </w:r>
      <w:r>
        <w:rPr>
          <w:rFonts w:hint="eastAsia" w:ascii="仿宋_GB2312" w:hAnsi="仿宋_GB2312" w:eastAsia="仿宋_GB2312" w:cs="仿宋_GB2312"/>
          <w:color w:val="auto"/>
          <w:spacing w:val="0"/>
          <w:sz w:val="32"/>
          <w:szCs w:val="32"/>
          <w:lang w:eastAsia="zh-CN"/>
        </w:rPr>
        <w:t>、缴纳社保情况</w:t>
      </w:r>
      <w:r>
        <w:rPr>
          <w:rFonts w:hint="eastAsia" w:ascii="仿宋_GB2312" w:hAnsi="仿宋_GB2312" w:eastAsia="仿宋_GB2312" w:cs="仿宋_GB2312"/>
          <w:color w:val="auto"/>
          <w:spacing w:val="0"/>
          <w:sz w:val="32"/>
          <w:szCs w:val="32"/>
        </w:rPr>
        <w:t>和</w:t>
      </w:r>
      <w:r>
        <w:rPr>
          <w:rFonts w:hint="eastAsia" w:ascii="仿宋_GB2312" w:hAnsi="仿宋_GB2312" w:eastAsia="仿宋_GB2312" w:cs="仿宋_GB2312"/>
          <w:color w:val="auto"/>
          <w:spacing w:val="0"/>
          <w:sz w:val="32"/>
          <w:szCs w:val="32"/>
          <w:lang w:eastAsia="zh-CN"/>
        </w:rPr>
        <w:t>平均</w:t>
      </w:r>
      <w:r>
        <w:rPr>
          <w:rFonts w:hint="eastAsia" w:ascii="仿宋_GB2312" w:hAnsi="仿宋_GB2312" w:eastAsia="仿宋_GB2312" w:cs="仿宋_GB2312"/>
          <w:color w:val="auto"/>
          <w:spacing w:val="0"/>
          <w:sz w:val="32"/>
          <w:szCs w:val="32"/>
        </w:rPr>
        <w:t>工资</w:t>
      </w:r>
      <w:r>
        <w:rPr>
          <w:rFonts w:hint="eastAsia" w:ascii="仿宋_GB2312" w:hAnsi="仿宋_GB2312" w:eastAsia="仿宋_GB2312" w:cs="仿宋_GB2312"/>
          <w:color w:val="auto"/>
          <w:spacing w:val="0"/>
          <w:sz w:val="32"/>
          <w:szCs w:val="32"/>
          <w:lang w:eastAsia="zh-CN"/>
        </w:rPr>
        <w:t>等</w:t>
      </w:r>
      <w:r>
        <w:rPr>
          <w:rFonts w:hint="eastAsia" w:ascii="仿宋_GB2312" w:hAnsi="仿宋_GB2312" w:eastAsia="仿宋_GB2312" w:cs="仿宋_GB2312"/>
          <w:color w:val="auto"/>
          <w:spacing w:val="0"/>
          <w:sz w:val="32"/>
          <w:szCs w:val="32"/>
        </w:rPr>
        <w:t>评估确定补偿标准。停产停业补偿期以月为单位计算，补偿期为6个月。</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lang w:eastAsia="zh-CN"/>
        </w:rPr>
        <w:t>（四）</w:t>
      </w:r>
      <w:r>
        <w:rPr>
          <w:rFonts w:hint="eastAsia" w:ascii="仿宋_GB2312" w:hAnsi="仿宋_GB2312" w:eastAsia="仿宋_GB2312" w:cs="仿宋_GB2312"/>
          <w:color w:val="auto"/>
          <w:spacing w:val="0"/>
          <w:sz w:val="32"/>
          <w:szCs w:val="32"/>
        </w:rPr>
        <w:t>附属设施征收补偿。房屋征收涉及附属设施（附着物）征收补偿的，由依法选定的评估机构通过评估确定补偿。</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黑体" w:hAnsi="黑体" w:eastAsia="黑体" w:cs="黑体"/>
          <w:color w:val="auto"/>
          <w:spacing w:val="0"/>
          <w:kern w:val="0"/>
          <w:sz w:val="32"/>
          <w:szCs w:val="32"/>
          <w:lang w:eastAsia="zh-CN"/>
        </w:rPr>
      </w:pPr>
      <w:r>
        <w:rPr>
          <w:rFonts w:hint="eastAsia" w:ascii="黑体" w:hAnsi="黑体" w:eastAsia="黑体" w:cs="黑体"/>
          <w:color w:val="auto"/>
          <w:spacing w:val="0"/>
          <w:kern w:val="0"/>
          <w:sz w:val="32"/>
          <w:szCs w:val="32"/>
        </w:rPr>
        <w:t>十、</w:t>
      </w:r>
      <w:r>
        <w:rPr>
          <w:rFonts w:hint="eastAsia" w:ascii="黑体" w:hAnsi="黑体" w:eastAsia="黑体" w:cs="黑体"/>
          <w:color w:val="auto"/>
          <w:spacing w:val="0"/>
          <w:kern w:val="0"/>
          <w:sz w:val="32"/>
          <w:szCs w:val="32"/>
          <w:lang w:eastAsia="zh-CN"/>
        </w:rPr>
        <w:t>被征收房屋补偿对象</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lang w:eastAsia="zh-CN"/>
        </w:rPr>
      </w:pPr>
      <w:r>
        <w:rPr>
          <w:rFonts w:hint="eastAsia" w:ascii="仿宋_GB2312" w:hAnsi="仿宋_GB2312" w:eastAsia="仿宋_GB2312" w:cs="仿宋_GB2312"/>
          <w:color w:val="auto"/>
          <w:spacing w:val="0"/>
          <w:sz w:val="32"/>
          <w:szCs w:val="32"/>
          <w:lang w:eastAsia="zh-CN"/>
        </w:rPr>
        <w:t>房屋征收补偿的对象包括被征收房屋的产权人和按承租约定享受权益的承租人。</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lang w:eastAsia="zh-CN"/>
        </w:rPr>
      </w:pPr>
      <w:r>
        <w:rPr>
          <w:rFonts w:hint="eastAsia" w:ascii="仿宋_GB2312" w:hAnsi="仿宋_GB2312" w:eastAsia="仿宋_GB2312" w:cs="仿宋_GB2312"/>
          <w:color w:val="auto"/>
          <w:spacing w:val="0"/>
          <w:sz w:val="32"/>
          <w:szCs w:val="32"/>
          <w:lang w:eastAsia="zh-CN"/>
        </w:rPr>
        <w:t>被征收房屋用于出租的，产权人和承租人有约定的，按双方约定进行补偿。没有约定的，按照以下原则协商补偿：</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lang w:eastAsia="zh-CN"/>
        </w:rPr>
      </w:pPr>
      <w:r>
        <w:rPr>
          <w:rFonts w:hint="eastAsia" w:ascii="楷体_GB2312" w:hAnsi="楷体_GB2312" w:eastAsia="楷体_GB2312" w:cs="楷体_GB2312"/>
          <w:color w:val="auto"/>
          <w:spacing w:val="0"/>
          <w:sz w:val="32"/>
          <w:szCs w:val="32"/>
          <w:lang w:eastAsia="zh-CN"/>
        </w:rPr>
        <w:t>（一）</w:t>
      </w:r>
      <w:r>
        <w:rPr>
          <w:rFonts w:hint="eastAsia" w:ascii="仿宋_GB2312" w:hAnsi="仿宋_GB2312" w:eastAsia="仿宋_GB2312" w:cs="仿宋_GB2312"/>
          <w:color w:val="auto"/>
          <w:spacing w:val="0"/>
          <w:sz w:val="32"/>
          <w:szCs w:val="32"/>
          <w:lang w:eastAsia="zh-CN"/>
        </w:rPr>
        <w:t>被征收房屋价值，补偿给被征收房屋产权人；</w:t>
      </w:r>
    </w:p>
    <w:p>
      <w:pPr>
        <w:keepNext w:val="0"/>
        <w:keepLines w:val="0"/>
        <w:pageBreakBefore w:val="0"/>
        <w:widowControl w:val="0"/>
        <w:numPr>
          <w:ilvl w:val="0"/>
          <w:numId w:val="0"/>
        </w:numPr>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lang w:eastAsia="zh-CN"/>
        </w:rPr>
      </w:pPr>
      <w:r>
        <w:rPr>
          <w:rFonts w:hint="eastAsia" w:ascii="楷体_GB2312" w:hAnsi="楷体_GB2312" w:eastAsia="楷体_GB2312" w:cs="楷体_GB2312"/>
          <w:color w:val="auto"/>
          <w:spacing w:val="0"/>
          <w:sz w:val="32"/>
          <w:szCs w:val="32"/>
          <w:lang w:eastAsia="zh-CN"/>
        </w:rPr>
        <w:t>（二）</w:t>
      </w:r>
      <w:r>
        <w:rPr>
          <w:rFonts w:hint="eastAsia" w:ascii="仿宋_GB2312" w:hAnsi="仿宋_GB2312" w:eastAsia="仿宋_GB2312" w:cs="仿宋_GB2312"/>
          <w:color w:val="auto"/>
          <w:spacing w:val="0"/>
          <w:sz w:val="32"/>
          <w:szCs w:val="32"/>
        </w:rPr>
        <w:t>搬迁</w:t>
      </w:r>
      <w:r>
        <w:rPr>
          <w:rFonts w:hint="eastAsia" w:ascii="仿宋_GB2312" w:hAnsi="仿宋_GB2312" w:eastAsia="仿宋_GB2312" w:cs="仿宋_GB2312"/>
          <w:color w:val="auto"/>
          <w:spacing w:val="0"/>
          <w:sz w:val="32"/>
          <w:szCs w:val="32"/>
          <w:lang w:eastAsia="zh-CN"/>
        </w:rPr>
        <w:t>费、</w:t>
      </w:r>
      <w:r>
        <w:rPr>
          <w:rFonts w:hint="eastAsia" w:ascii="仿宋_GB2312" w:hAnsi="仿宋_GB2312" w:eastAsia="仿宋_GB2312" w:cs="仿宋_GB2312"/>
          <w:color w:val="auto"/>
          <w:spacing w:val="0"/>
          <w:sz w:val="32"/>
          <w:szCs w:val="32"/>
        </w:rPr>
        <w:t>临时安置</w:t>
      </w:r>
      <w:r>
        <w:rPr>
          <w:rFonts w:hint="eastAsia" w:ascii="仿宋_GB2312" w:hAnsi="仿宋_GB2312" w:eastAsia="仿宋_GB2312" w:cs="仿宋_GB2312"/>
          <w:color w:val="auto"/>
          <w:spacing w:val="0"/>
          <w:sz w:val="32"/>
          <w:szCs w:val="32"/>
          <w:lang w:eastAsia="zh-CN"/>
        </w:rPr>
        <w:t>费、</w:t>
      </w:r>
      <w:r>
        <w:rPr>
          <w:rFonts w:hint="eastAsia" w:ascii="仿宋_GB2312" w:hAnsi="仿宋_GB2312" w:eastAsia="仿宋_GB2312" w:cs="仿宋_GB2312"/>
          <w:color w:val="auto"/>
          <w:spacing w:val="0"/>
          <w:sz w:val="32"/>
          <w:szCs w:val="32"/>
        </w:rPr>
        <w:t>停产停业损失补偿</w:t>
      </w:r>
      <w:r>
        <w:rPr>
          <w:rFonts w:hint="eastAsia" w:ascii="仿宋_GB2312" w:hAnsi="仿宋_GB2312" w:eastAsia="仿宋_GB2312" w:cs="仿宋_GB2312"/>
          <w:color w:val="auto"/>
          <w:spacing w:val="0"/>
          <w:sz w:val="32"/>
          <w:szCs w:val="32"/>
          <w:lang w:eastAsia="zh-CN"/>
        </w:rPr>
        <w:t>，补偿给承租人。属于产权人自用部分补偿给产权人；</w:t>
      </w:r>
    </w:p>
    <w:p>
      <w:pPr>
        <w:keepNext w:val="0"/>
        <w:keepLines w:val="0"/>
        <w:pageBreakBefore w:val="0"/>
        <w:widowControl w:val="0"/>
        <w:numPr>
          <w:ilvl w:val="0"/>
          <w:numId w:val="0"/>
        </w:numPr>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lang w:eastAsia="zh-CN"/>
        </w:rPr>
      </w:pPr>
      <w:r>
        <w:rPr>
          <w:rFonts w:hint="eastAsia" w:ascii="楷体_GB2312" w:hAnsi="楷体_GB2312" w:eastAsia="楷体_GB2312" w:cs="楷体_GB2312"/>
          <w:color w:val="auto"/>
          <w:spacing w:val="0"/>
          <w:sz w:val="32"/>
          <w:szCs w:val="32"/>
          <w:lang w:eastAsia="zh-CN"/>
        </w:rPr>
        <w:t>（三）</w:t>
      </w:r>
      <w:r>
        <w:rPr>
          <w:rFonts w:hint="eastAsia" w:ascii="仿宋_GB2312" w:hAnsi="仿宋_GB2312" w:eastAsia="仿宋_GB2312" w:cs="仿宋_GB2312"/>
          <w:color w:val="auto"/>
          <w:spacing w:val="0"/>
          <w:sz w:val="32"/>
          <w:szCs w:val="32"/>
          <w:lang w:eastAsia="zh-CN"/>
        </w:rPr>
        <w:t>出租房屋室内装饰装修属于承租人投资部分，补偿给承租人；属于产权人投资部分，补偿给产权人。</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黑体" w:hAnsi="黑体" w:eastAsia="黑体" w:cs="黑体"/>
          <w:color w:val="auto"/>
          <w:spacing w:val="0"/>
          <w:kern w:val="0"/>
          <w:sz w:val="32"/>
          <w:szCs w:val="32"/>
          <w:lang w:eastAsia="zh-CN"/>
        </w:rPr>
      </w:pPr>
      <w:r>
        <w:rPr>
          <w:rFonts w:hint="eastAsia" w:ascii="黑体" w:hAnsi="黑体" w:eastAsia="黑体" w:cs="黑体"/>
          <w:color w:val="auto"/>
          <w:spacing w:val="0"/>
          <w:kern w:val="0"/>
          <w:sz w:val="32"/>
          <w:szCs w:val="32"/>
          <w:lang w:eastAsia="zh-CN"/>
        </w:rPr>
        <w:t>十一、</w:t>
      </w:r>
      <w:r>
        <w:rPr>
          <w:rFonts w:hint="eastAsia" w:ascii="黑体" w:hAnsi="黑体" w:eastAsia="黑体" w:cs="黑体"/>
          <w:color w:val="auto"/>
          <w:spacing w:val="0"/>
          <w:kern w:val="0"/>
          <w:sz w:val="32"/>
          <w:szCs w:val="32"/>
        </w:rPr>
        <w:t>未登记建筑的认定和处理</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未依法登记的建筑，由县自然资源局</w:t>
      </w:r>
      <w:r>
        <w:rPr>
          <w:rFonts w:hint="eastAsia" w:ascii="仿宋_GB2312" w:hAnsi="仿宋_GB2312" w:eastAsia="仿宋_GB2312" w:cs="仿宋_GB2312"/>
          <w:color w:val="auto"/>
          <w:spacing w:val="0"/>
          <w:sz w:val="32"/>
          <w:szCs w:val="32"/>
          <w:lang w:eastAsia="zh-CN"/>
        </w:rPr>
        <w:t>、县住建局、县综合行政执法局、县房管局、陵江镇人民政府等部门</w:t>
      </w:r>
      <w:r>
        <w:rPr>
          <w:rFonts w:hint="eastAsia" w:ascii="仿宋_GB2312" w:hAnsi="仿宋_GB2312" w:eastAsia="仿宋_GB2312" w:cs="仿宋_GB2312"/>
          <w:color w:val="auto"/>
          <w:spacing w:val="0"/>
          <w:sz w:val="32"/>
          <w:szCs w:val="32"/>
        </w:rPr>
        <w:t>共同调查</w:t>
      </w:r>
      <w:r>
        <w:rPr>
          <w:rFonts w:hint="eastAsia" w:ascii="仿宋_GB2312" w:hAnsi="仿宋_GB2312" w:eastAsia="仿宋_GB2312" w:cs="仿宋_GB2312"/>
          <w:color w:val="auto"/>
          <w:spacing w:val="0"/>
          <w:sz w:val="32"/>
          <w:szCs w:val="32"/>
          <w:lang w:val="en-US" w:eastAsia="zh-CN"/>
        </w:rPr>
        <w:t>核实</w:t>
      </w:r>
      <w:r>
        <w:rPr>
          <w:rFonts w:hint="eastAsia" w:ascii="仿宋_GB2312" w:hAnsi="仿宋_GB2312" w:eastAsia="仿宋_GB2312" w:cs="仿宋_GB2312"/>
          <w:color w:val="auto"/>
          <w:spacing w:val="0"/>
          <w:sz w:val="32"/>
          <w:szCs w:val="32"/>
        </w:rPr>
        <w:t>，对调查</w:t>
      </w:r>
      <w:r>
        <w:rPr>
          <w:rFonts w:hint="eastAsia" w:ascii="仿宋_GB2312" w:hAnsi="仿宋_GB2312" w:eastAsia="仿宋_GB2312" w:cs="仿宋_GB2312"/>
          <w:color w:val="auto"/>
          <w:spacing w:val="0"/>
          <w:sz w:val="32"/>
          <w:szCs w:val="32"/>
          <w:lang w:val="en-US" w:eastAsia="zh-CN"/>
        </w:rPr>
        <w:t>核实</w:t>
      </w:r>
      <w:r>
        <w:rPr>
          <w:rFonts w:hint="eastAsia" w:ascii="仿宋_GB2312" w:hAnsi="仿宋_GB2312" w:eastAsia="仿宋_GB2312" w:cs="仿宋_GB2312"/>
          <w:color w:val="auto"/>
          <w:spacing w:val="0"/>
          <w:sz w:val="32"/>
          <w:szCs w:val="32"/>
        </w:rPr>
        <w:t>为合法的建筑给予补偿</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对调查</w:t>
      </w:r>
      <w:r>
        <w:rPr>
          <w:rFonts w:hint="eastAsia" w:ascii="仿宋_GB2312" w:hAnsi="仿宋_GB2312" w:eastAsia="仿宋_GB2312" w:cs="仿宋_GB2312"/>
          <w:color w:val="auto"/>
          <w:spacing w:val="0"/>
          <w:sz w:val="32"/>
          <w:szCs w:val="32"/>
          <w:lang w:val="en-US" w:eastAsia="zh-CN"/>
        </w:rPr>
        <w:t>核实自行搭建的不合法</w:t>
      </w:r>
      <w:r>
        <w:rPr>
          <w:rFonts w:hint="eastAsia" w:ascii="仿宋_GB2312" w:hAnsi="仿宋_GB2312" w:eastAsia="仿宋_GB2312" w:cs="仿宋_GB2312"/>
          <w:color w:val="auto"/>
          <w:spacing w:val="0"/>
          <w:sz w:val="32"/>
          <w:szCs w:val="32"/>
        </w:rPr>
        <w:t>建筑</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在</w:t>
      </w:r>
      <w:r>
        <w:rPr>
          <w:rFonts w:hint="eastAsia" w:ascii="仿宋_GB2312" w:hAnsi="仿宋_GB2312" w:eastAsia="仿宋_GB2312" w:cs="仿宋_GB2312"/>
          <w:color w:val="auto"/>
          <w:spacing w:val="0"/>
          <w:sz w:val="32"/>
          <w:szCs w:val="32"/>
          <w:lang w:eastAsia="zh-CN"/>
        </w:rPr>
        <w:t>本方案</w:t>
      </w:r>
      <w:r>
        <w:rPr>
          <w:rFonts w:hint="eastAsia" w:ascii="仿宋_GB2312" w:hAnsi="仿宋_GB2312" w:eastAsia="仿宋_GB2312" w:cs="仿宋_GB2312"/>
          <w:color w:val="auto"/>
          <w:spacing w:val="0"/>
          <w:sz w:val="32"/>
          <w:szCs w:val="32"/>
        </w:rPr>
        <w:t>规定</w:t>
      </w:r>
      <w:r>
        <w:rPr>
          <w:rFonts w:hint="eastAsia" w:ascii="仿宋_GB2312" w:hAnsi="仿宋_GB2312" w:eastAsia="仿宋_GB2312" w:cs="仿宋_GB2312"/>
          <w:color w:val="auto"/>
          <w:spacing w:val="0"/>
          <w:sz w:val="32"/>
          <w:szCs w:val="32"/>
          <w:lang w:eastAsia="zh-CN"/>
        </w:rPr>
        <w:t>的签约</w:t>
      </w:r>
      <w:r>
        <w:rPr>
          <w:rFonts w:hint="eastAsia" w:ascii="仿宋_GB2312" w:hAnsi="仿宋_GB2312" w:eastAsia="仿宋_GB2312" w:cs="仿宋_GB2312"/>
          <w:color w:val="auto"/>
          <w:spacing w:val="0"/>
          <w:sz w:val="32"/>
          <w:szCs w:val="32"/>
        </w:rPr>
        <w:t>期限</w:t>
      </w:r>
      <w:r>
        <w:rPr>
          <w:rFonts w:hint="eastAsia" w:ascii="仿宋_GB2312" w:hAnsi="仿宋_GB2312" w:eastAsia="仿宋_GB2312" w:cs="仿宋_GB2312"/>
          <w:color w:val="auto"/>
          <w:spacing w:val="0"/>
          <w:sz w:val="32"/>
          <w:szCs w:val="32"/>
          <w:lang w:eastAsia="zh-CN"/>
        </w:rPr>
        <w:t>前</w:t>
      </w:r>
      <w:r>
        <w:rPr>
          <w:rFonts w:hint="eastAsia" w:ascii="仿宋_GB2312" w:hAnsi="仿宋_GB2312" w:eastAsia="仿宋_GB2312" w:cs="仿宋_GB2312"/>
          <w:color w:val="auto"/>
          <w:spacing w:val="0"/>
          <w:sz w:val="32"/>
          <w:szCs w:val="32"/>
        </w:rPr>
        <w:t>签订协议的</w:t>
      </w:r>
      <w:r>
        <w:rPr>
          <w:rFonts w:hint="eastAsia" w:ascii="仿宋_GB2312" w:hAnsi="仿宋_GB2312" w:eastAsia="仿宋_GB2312" w:cs="仿宋_GB2312"/>
          <w:color w:val="auto"/>
          <w:spacing w:val="0"/>
          <w:sz w:val="32"/>
          <w:szCs w:val="32"/>
          <w:lang w:eastAsia="zh-CN"/>
        </w:rPr>
        <w:t>，按其残值评估作价</w:t>
      </w:r>
      <w:r>
        <w:rPr>
          <w:rFonts w:hint="eastAsia" w:ascii="仿宋_GB2312" w:hAnsi="仿宋_GB2312" w:eastAsia="仿宋_GB2312" w:cs="仿宋_GB2312"/>
          <w:color w:val="auto"/>
          <w:spacing w:val="0"/>
          <w:sz w:val="32"/>
          <w:szCs w:val="32"/>
        </w:rPr>
        <w:t>给予补助</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逾期</w:t>
      </w:r>
      <w:r>
        <w:rPr>
          <w:rFonts w:hint="eastAsia" w:ascii="仿宋_GB2312" w:hAnsi="仿宋_GB2312" w:eastAsia="仿宋_GB2312" w:cs="仿宋_GB2312"/>
          <w:color w:val="auto"/>
          <w:spacing w:val="0"/>
          <w:sz w:val="32"/>
          <w:szCs w:val="32"/>
          <w:lang w:eastAsia="zh-CN"/>
        </w:rPr>
        <w:t>未签订协议</w:t>
      </w:r>
      <w:r>
        <w:rPr>
          <w:rFonts w:hint="eastAsia" w:ascii="仿宋_GB2312" w:hAnsi="仿宋_GB2312" w:eastAsia="仿宋_GB2312" w:cs="仿宋_GB2312"/>
          <w:color w:val="auto"/>
          <w:spacing w:val="0"/>
          <w:sz w:val="32"/>
          <w:szCs w:val="32"/>
        </w:rPr>
        <w:t>的一律依法强制拆除，不予补助。</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黑体" w:hAnsi="黑体" w:eastAsia="黑体" w:cs="黑体"/>
          <w:color w:val="auto"/>
          <w:spacing w:val="0"/>
          <w:kern w:val="0"/>
          <w:sz w:val="32"/>
          <w:szCs w:val="32"/>
        </w:rPr>
      </w:pPr>
      <w:r>
        <w:rPr>
          <w:rFonts w:hint="eastAsia" w:ascii="黑体" w:hAnsi="黑体" w:eastAsia="黑体" w:cs="黑体"/>
          <w:color w:val="auto"/>
          <w:spacing w:val="0"/>
          <w:kern w:val="0"/>
          <w:sz w:val="32"/>
          <w:szCs w:val="32"/>
        </w:rPr>
        <w:t>十</w:t>
      </w:r>
      <w:r>
        <w:rPr>
          <w:rFonts w:hint="eastAsia" w:ascii="黑体" w:hAnsi="黑体" w:eastAsia="黑体" w:cs="黑体"/>
          <w:color w:val="auto"/>
          <w:spacing w:val="0"/>
          <w:kern w:val="0"/>
          <w:sz w:val="32"/>
          <w:szCs w:val="32"/>
          <w:lang w:eastAsia="zh-CN"/>
        </w:rPr>
        <w:t>二</w:t>
      </w:r>
      <w:r>
        <w:rPr>
          <w:rFonts w:hint="eastAsia" w:ascii="黑体" w:hAnsi="黑体" w:eastAsia="黑体" w:cs="黑体"/>
          <w:color w:val="auto"/>
          <w:spacing w:val="0"/>
          <w:kern w:val="0"/>
          <w:sz w:val="32"/>
          <w:szCs w:val="32"/>
        </w:rPr>
        <w:t>、被征收房屋建筑面积的认定办法</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被征收房屋建筑面积，原则上以房屋权属证书和房屋登记簿的记载为准。以下情形按相关规定办理：</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lang w:eastAsia="zh-CN"/>
        </w:rPr>
      </w:pPr>
      <w:r>
        <w:rPr>
          <w:rFonts w:hint="eastAsia" w:ascii="楷体_GB2312" w:hAnsi="楷体_GB2312" w:eastAsia="楷体_GB2312" w:cs="楷体_GB2312"/>
          <w:color w:val="auto"/>
          <w:spacing w:val="0"/>
          <w:sz w:val="32"/>
          <w:szCs w:val="32"/>
          <w:lang w:eastAsia="zh-CN"/>
        </w:rPr>
        <w:t>（一）</w:t>
      </w:r>
      <w:r>
        <w:rPr>
          <w:rFonts w:hint="eastAsia" w:ascii="仿宋_GB2312" w:hAnsi="仿宋_GB2312" w:eastAsia="仿宋_GB2312" w:cs="仿宋_GB2312"/>
          <w:color w:val="auto"/>
          <w:spacing w:val="0"/>
          <w:sz w:val="32"/>
          <w:szCs w:val="32"/>
        </w:rPr>
        <w:t>被征收房屋实际建筑面积超过房屋权属证书所载面积的，经调查认定可以补偿的，以实际建筑面积予以补偿</w:t>
      </w:r>
      <w:r>
        <w:rPr>
          <w:rFonts w:hint="eastAsia" w:ascii="仿宋_GB2312" w:hAnsi="仿宋_GB2312" w:eastAsia="仿宋_GB2312" w:cs="仿宋_GB2312"/>
          <w:color w:val="auto"/>
          <w:spacing w:val="0"/>
          <w:sz w:val="32"/>
          <w:szCs w:val="32"/>
          <w:lang w:eastAsia="zh-CN"/>
        </w:rPr>
        <w:t>。</w:t>
      </w:r>
    </w:p>
    <w:p>
      <w:pPr>
        <w:keepNext w:val="0"/>
        <w:keepLines w:val="0"/>
        <w:pageBreakBefore w:val="0"/>
        <w:widowControl w:val="0"/>
        <w:numPr>
          <w:ilvl w:val="0"/>
          <w:numId w:val="0"/>
        </w:numPr>
        <w:kinsoku/>
        <w:wordWrap/>
        <w:overflowPunct w:val="0"/>
        <w:topLinePunct w:val="0"/>
        <w:autoSpaceDE/>
        <w:autoSpaceDN/>
        <w:bidi w:val="0"/>
        <w:adjustRightInd/>
        <w:snapToGrid/>
        <w:spacing w:line="576" w:lineRule="exact"/>
        <w:ind w:right="0" w:rightChars="0" w:firstLine="640" w:firstLineChars="200"/>
        <w:jc w:val="left"/>
        <w:textAlignment w:val="auto"/>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lang w:eastAsia="zh-CN"/>
        </w:rPr>
        <w:t>（二）</w:t>
      </w:r>
      <w:r>
        <w:rPr>
          <w:rFonts w:hint="eastAsia" w:ascii="仿宋_GB2312" w:hAnsi="仿宋_GB2312" w:eastAsia="仿宋_GB2312" w:cs="仿宋_GB2312"/>
          <w:color w:val="auto"/>
          <w:spacing w:val="0"/>
          <w:sz w:val="32"/>
          <w:szCs w:val="32"/>
        </w:rPr>
        <w:t>被征收房屋实际面积少于房屋权属证书所载面积的，以实际建筑面积予以补偿。</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黑体" w:hAnsi="黑体" w:eastAsia="黑体" w:cs="黑体"/>
          <w:color w:val="auto"/>
          <w:spacing w:val="0"/>
          <w:kern w:val="0"/>
          <w:sz w:val="32"/>
          <w:szCs w:val="32"/>
        </w:rPr>
      </w:pPr>
      <w:r>
        <w:rPr>
          <w:rFonts w:hint="eastAsia" w:ascii="黑体" w:hAnsi="黑体" w:eastAsia="黑体" w:cs="黑体"/>
          <w:color w:val="auto"/>
          <w:spacing w:val="0"/>
          <w:kern w:val="0"/>
          <w:sz w:val="32"/>
          <w:szCs w:val="32"/>
        </w:rPr>
        <w:t>十</w:t>
      </w:r>
      <w:r>
        <w:rPr>
          <w:rFonts w:hint="eastAsia" w:ascii="黑体" w:hAnsi="黑体" w:eastAsia="黑体" w:cs="黑体"/>
          <w:color w:val="auto"/>
          <w:spacing w:val="0"/>
          <w:kern w:val="0"/>
          <w:sz w:val="32"/>
          <w:szCs w:val="32"/>
          <w:lang w:eastAsia="zh-CN"/>
        </w:rPr>
        <w:t>三</w:t>
      </w:r>
      <w:r>
        <w:rPr>
          <w:rFonts w:hint="eastAsia" w:ascii="黑体" w:hAnsi="黑体" w:eastAsia="黑体" w:cs="黑体"/>
          <w:color w:val="auto"/>
          <w:spacing w:val="0"/>
          <w:kern w:val="0"/>
          <w:sz w:val="32"/>
          <w:szCs w:val="32"/>
        </w:rPr>
        <w:t>、房屋征收评估机构选定办法</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rPr>
          <w:rFonts w:hint="eastAsia" w:ascii="仿宋_GB2312" w:hAnsi="仿宋_GB2312" w:eastAsia="仿宋_GB2312" w:cs="仿宋_GB2312"/>
          <w:color w:val="auto"/>
          <w:spacing w:val="0"/>
          <w:sz w:val="32"/>
          <w:szCs w:val="32"/>
          <w:lang w:eastAsia="zh-CN"/>
        </w:rPr>
      </w:pPr>
      <w:r>
        <w:rPr>
          <w:rFonts w:hint="eastAsia" w:ascii="仿宋_GB2312" w:hAnsi="仿宋_GB2312" w:eastAsia="仿宋_GB2312" w:cs="仿宋_GB2312"/>
          <w:color w:val="auto"/>
          <w:spacing w:val="0"/>
          <w:sz w:val="32"/>
          <w:szCs w:val="32"/>
        </w:rPr>
        <w:t>由被征收人协商选定1家房地产价格评估机构，</w:t>
      </w:r>
      <w:r>
        <w:rPr>
          <w:rFonts w:hint="eastAsia" w:ascii="仿宋_GB2312" w:hAnsi="仿宋_GB2312" w:eastAsia="仿宋_GB2312" w:cs="仿宋_GB2312"/>
          <w:color w:val="auto"/>
          <w:spacing w:val="0"/>
          <w:sz w:val="32"/>
          <w:szCs w:val="32"/>
          <w:lang w:eastAsia="zh-CN"/>
        </w:rPr>
        <w:t>并</w:t>
      </w:r>
      <w:r>
        <w:rPr>
          <w:rFonts w:hint="eastAsia" w:ascii="仿宋_GB2312" w:hAnsi="仿宋_GB2312" w:eastAsia="仿宋_GB2312" w:cs="仿宋_GB2312"/>
          <w:color w:val="auto"/>
          <w:spacing w:val="0"/>
          <w:sz w:val="32"/>
          <w:szCs w:val="32"/>
        </w:rPr>
        <w:t>将</w:t>
      </w:r>
      <w:r>
        <w:rPr>
          <w:rFonts w:hint="eastAsia" w:ascii="仿宋_GB2312" w:hAnsi="仿宋_GB2312" w:eastAsia="仿宋_GB2312" w:cs="仿宋_GB2312"/>
          <w:color w:val="auto"/>
          <w:spacing w:val="0"/>
          <w:sz w:val="32"/>
          <w:szCs w:val="32"/>
          <w:lang w:eastAsia="zh-CN"/>
        </w:rPr>
        <w:t>选定</w:t>
      </w:r>
      <w:r>
        <w:rPr>
          <w:rFonts w:hint="eastAsia" w:ascii="仿宋_GB2312" w:hAnsi="仿宋_GB2312" w:eastAsia="仿宋_GB2312" w:cs="仿宋_GB2312"/>
          <w:color w:val="auto"/>
          <w:spacing w:val="0"/>
          <w:sz w:val="32"/>
          <w:szCs w:val="32"/>
        </w:rPr>
        <w:t>结果书面告知房屋征收部门</w:t>
      </w:r>
      <w:r>
        <w:rPr>
          <w:rFonts w:hint="eastAsia" w:ascii="仿宋_GB2312" w:hAnsi="仿宋_GB2312" w:eastAsia="仿宋_GB2312" w:cs="仿宋_GB2312"/>
          <w:color w:val="auto"/>
          <w:spacing w:val="0"/>
          <w:sz w:val="32"/>
          <w:szCs w:val="32"/>
          <w:lang w:eastAsia="zh-CN"/>
        </w:rPr>
        <w:t>；协商不成的，由</w:t>
      </w:r>
      <w:r>
        <w:rPr>
          <w:rFonts w:hint="eastAsia" w:ascii="仿宋_GB2312" w:hAnsi="仿宋_GB2312" w:eastAsia="仿宋_GB2312" w:cs="仿宋_GB2312"/>
          <w:color w:val="auto"/>
          <w:spacing w:val="0"/>
          <w:sz w:val="32"/>
          <w:szCs w:val="32"/>
        </w:rPr>
        <w:t>房屋征收部门</w:t>
      </w:r>
      <w:r>
        <w:rPr>
          <w:rFonts w:hint="eastAsia" w:ascii="仿宋_GB2312" w:hAnsi="仿宋_GB2312" w:eastAsia="仿宋_GB2312" w:cs="仿宋_GB2312"/>
          <w:color w:val="auto"/>
          <w:spacing w:val="0"/>
          <w:sz w:val="32"/>
          <w:szCs w:val="32"/>
          <w:lang w:eastAsia="zh-CN"/>
        </w:rPr>
        <w:t>组织</w:t>
      </w:r>
      <w:r>
        <w:rPr>
          <w:rFonts w:hint="eastAsia" w:ascii="仿宋_GB2312" w:hAnsi="仿宋_GB2312" w:eastAsia="仿宋_GB2312" w:cs="仿宋_GB2312"/>
          <w:color w:val="auto"/>
          <w:spacing w:val="0"/>
          <w:sz w:val="32"/>
          <w:szCs w:val="32"/>
        </w:rPr>
        <w:t>被征收人</w:t>
      </w:r>
      <w:r>
        <w:rPr>
          <w:rFonts w:hint="eastAsia" w:ascii="仿宋_GB2312" w:hAnsi="仿宋_GB2312" w:eastAsia="仿宋_GB2312" w:cs="仿宋_GB2312"/>
          <w:color w:val="auto"/>
          <w:spacing w:val="0"/>
          <w:sz w:val="32"/>
          <w:szCs w:val="32"/>
          <w:lang w:eastAsia="zh-CN"/>
        </w:rPr>
        <w:t>在</w:t>
      </w:r>
      <w:r>
        <w:rPr>
          <w:rFonts w:hint="eastAsia" w:ascii="仿宋_GB2312" w:hAnsi="仿宋_GB2312" w:eastAsia="仿宋_GB2312" w:cs="仿宋_GB2312"/>
          <w:color w:val="auto"/>
          <w:spacing w:val="0"/>
          <w:sz w:val="32"/>
          <w:szCs w:val="32"/>
        </w:rPr>
        <w:t>广元市</w:t>
      </w:r>
      <w:r>
        <w:rPr>
          <w:rFonts w:hint="eastAsia" w:ascii="仿宋_GB2312" w:hAnsi="仿宋_GB2312" w:eastAsia="仿宋_GB2312" w:cs="仿宋_GB2312"/>
          <w:color w:val="auto"/>
          <w:spacing w:val="0"/>
          <w:sz w:val="32"/>
          <w:szCs w:val="32"/>
          <w:lang w:eastAsia="zh-CN"/>
        </w:rPr>
        <w:t>房地产价格评估机构库中随机选定。</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黑体" w:hAnsi="黑体" w:eastAsia="黑体" w:cs="黑体"/>
          <w:color w:val="auto"/>
          <w:spacing w:val="0"/>
          <w:kern w:val="0"/>
          <w:sz w:val="32"/>
          <w:szCs w:val="32"/>
        </w:rPr>
      </w:pPr>
      <w:r>
        <w:rPr>
          <w:rFonts w:hint="eastAsia" w:ascii="黑体" w:hAnsi="黑体" w:eastAsia="黑体" w:cs="黑体"/>
          <w:color w:val="auto"/>
          <w:spacing w:val="0"/>
          <w:kern w:val="0"/>
          <w:sz w:val="32"/>
          <w:szCs w:val="32"/>
        </w:rPr>
        <w:t>十</w:t>
      </w:r>
      <w:r>
        <w:rPr>
          <w:rFonts w:hint="eastAsia" w:ascii="黑体" w:hAnsi="黑体" w:eastAsia="黑体" w:cs="黑体"/>
          <w:color w:val="auto"/>
          <w:spacing w:val="0"/>
          <w:kern w:val="0"/>
          <w:sz w:val="32"/>
          <w:szCs w:val="32"/>
          <w:lang w:eastAsia="zh-CN"/>
        </w:rPr>
        <w:t>四</w:t>
      </w:r>
      <w:r>
        <w:rPr>
          <w:rFonts w:hint="eastAsia" w:ascii="黑体" w:hAnsi="黑体" w:eastAsia="黑体" w:cs="黑体"/>
          <w:color w:val="auto"/>
          <w:spacing w:val="0"/>
          <w:kern w:val="0"/>
          <w:sz w:val="32"/>
          <w:szCs w:val="32"/>
        </w:rPr>
        <w:t>、签约期限</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sz w:val="32"/>
          <w:szCs w:val="32"/>
          <w:lang w:eastAsia="zh-CN"/>
        </w:rPr>
      </w:pPr>
      <w:r>
        <w:rPr>
          <w:rFonts w:hint="eastAsia" w:ascii="仿宋_GB2312" w:hAnsi="仿宋_GB2312" w:eastAsia="仿宋_GB2312" w:cs="仿宋_GB2312"/>
          <w:color w:val="auto"/>
          <w:spacing w:val="0"/>
          <w:sz w:val="32"/>
          <w:szCs w:val="32"/>
        </w:rPr>
        <w:t>2019年</w:t>
      </w:r>
      <w:r>
        <w:rPr>
          <w:rFonts w:hint="eastAsia" w:ascii="仿宋_GB2312" w:hAnsi="仿宋_GB2312" w:eastAsia="仿宋_GB2312" w:cs="仿宋_GB2312"/>
          <w:color w:val="auto"/>
          <w:spacing w:val="0"/>
          <w:sz w:val="32"/>
          <w:szCs w:val="32"/>
          <w:lang w:val="en-US" w:eastAsia="zh-CN"/>
        </w:rPr>
        <w:t>10</w:t>
      </w:r>
      <w:r>
        <w:rPr>
          <w:rFonts w:hint="eastAsia" w:ascii="仿宋_GB2312" w:hAnsi="仿宋_GB2312" w:eastAsia="仿宋_GB2312" w:cs="仿宋_GB2312"/>
          <w:color w:val="auto"/>
          <w:spacing w:val="0"/>
          <w:sz w:val="32"/>
          <w:szCs w:val="32"/>
        </w:rPr>
        <w:t>月</w:t>
      </w:r>
      <w:r>
        <w:rPr>
          <w:rFonts w:hint="eastAsia" w:ascii="仿宋_GB2312" w:hAnsi="仿宋_GB2312" w:eastAsia="仿宋_GB2312" w:cs="仿宋_GB2312"/>
          <w:color w:val="auto"/>
          <w:spacing w:val="0"/>
          <w:sz w:val="32"/>
          <w:szCs w:val="32"/>
          <w:lang w:val="en-US" w:eastAsia="zh-CN"/>
        </w:rPr>
        <w:t>10</w:t>
      </w:r>
      <w:r>
        <w:rPr>
          <w:rFonts w:hint="eastAsia" w:ascii="仿宋_GB2312" w:hAnsi="仿宋_GB2312" w:eastAsia="仿宋_GB2312" w:cs="仿宋_GB2312"/>
          <w:color w:val="auto"/>
          <w:spacing w:val="0"/>
          <w:sz w:val="32"/>
          <w:szCs w:val="32"/>
        </w:rPr>
        <w:t>日前</w:t>
      </w:r>
      <w:r>
        <w:rPr>
          <w:rFonts w:hint="eastAsia" w:ascii="仿宋_GB2312" w:hAnsi="仿宋_GB2312" w:eastAsia="仿宋_GB2312" w:cs="仿宋_GB2312"/>
          <w:color w:val="auto"/>
          <w:spacing w:val="0"/>
          <w:sz w:val="32"/>
          <w:szCs w:val="32"/>
          <w:lang w:eastAsia="zh-CN"/>
        </w:rPr>
        <w:t>。</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黑体" w:hAnsi="黑体" w:eastAsia="黑体" w:cs="黑体"/>
          <w:color w:val="auto"/>
          <w:spacing w:val="0"/>
          <w:kern w:val="0"/>
          <w:sz w:val="32"/>
          <w:szCs w:val="32"/>
        </w:rPr>
      </w:pPr>
      <w:r>
        <w:rPr>
          <w:rFonts w:hint="eastAsia" w:ascii="黑体" w:hAnsi="黑体" w:eastAsia="黑体" w:cs="黑体"/>
          <w:color w:val="auto"/>
          <w:spacing w:val="0"/>
          <w:kern w:val="0"/>
          <w:sz w:val="32"/>
          <w:szCs w:val="32"/>
        </w:rPr>
        <w:t>十</w:t>
      </w:r>
      <w:r>
        <w:rPr>
          <w:rFonts w:hint="eastAsia" w:ascii="黑体" w:hAnsi="黑体" w:eastAsia="黑体" w:cs="黑体"/>
          <w:color w:val="auto"/>
          <w:spacing w:val="0"/>
          <w:kern w:val="0"/>
          <w:sz w:val="32"/>
          <w:szCs w:val="32"/>
          <w:lang w:eastAsia="zh-CN"/>
        </w:rPr>
        <w:t>五</w:t>
      </w:r>
      <w:r>
        <w:rPr>
          <w:rFonts w:hint="eastAsia" w:ascii="黑体" w:hAnsi="黑体" w:eastAsia="黑体" w:cs="黑体"/>
          <w:color w:val="auto"/>
          <w:spacing w:val="0"/>
          <w:kern w:val="0"/>
          <w:sz w:val="32"/>
          <w:szCs w:val="32"/>
        </w:rPr>
        <w:t>、搬迁期限</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仿宋_GB2312" w:hAnsi="仿宋_GB2312" w:eastAsia="仿宋_GB2312" w:cs="仿宋_GB2312"/>
          <w:color w:val="auto"/>
          <w:spacing w:val="0"/>
          <w:kern w:val="0"/>
          <w:sz w:val="32"/>
          <w:szCs w:val="32"/>
          <w:lang w:eastAsia="zh-CN"/>
        </w:rPr>
      </w:pPr>
      <w:r>
        <w:rPr>
          <w:rFonts w:hint="eastAsia" w:ascii="仿宋_GB2312" w:hAnsi="仿宋_GB2312" w:eastAsia="仿宋_GB2312" w:cs="仿宋_GB2312"/>
          <w:color w:val="auto"/>
          <w:spacing w:val="0"/>
          <w:sz w:val="32"/>
          <w:szCs w:val="32"/>
        </w:rPr>
        <w:t>2019年10月</w:t>
      </w:r>
      <w:r>
        <w:rPr>
          <w:rFonts w:hint="eastAsia" w:ascii="仿宋_GB2312" w:hAnsi="仿宋_GB2312" w:eastAsia="仿宋_GB2312" w:cs="仿宋_GB2312"/>
          <w:color w:val="auto"/>
          <w:spacing w:val="0"/>
          <w:sz w:val="32"/>
          <w:szCs w:val="32"/>
          <w:lang w:val="en-US" w:eastAsia="zh-CN"/>
        </w:rPr>
        <w:t>2</w:t>
      </w:r>
      <w:r>
        <w:rPr>
          <w:rFonts w:hint="eastAsia" w:ascii="仿宋_GB2312" w:hAnsi="仿宋_GB2312" w:eastAsia="仿宋_GB2312" w:cs="仿宋_GB2312"/>
          <w:color w:val="auto"/>
          <w:spacing w:val="0"/>
          <w:sz w:val="32"/>
          <w:szCs w:val="32"/>
        </w:rPr>
        <w:t>0日前</w:t>
      </w:r>
      <w:r>
        <w:rPr>
          <w:rFonts w:hint="eastAsia" w:ascii="仿宋_GB2312" w:hAnsi="仿宋_GB2312" w:eastAsia="仿宋_GB2312" w:cs="仿宋_GB2312"/>
          <w:color w:val="auto"/>
          <w:spacing w:val="0"/>
          <w:sz w:val="32"/>
          <w:szCs w:val="32"/>
          <w:lang w:eastAsia="zh-CN"/>
        </w:rPr>
        <w:t>。</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outlineLvl w:val="9"/>
        <w:rPr>
          <w:rFonts w:hint="eastAsia" w:ascii="黑体" w:hAnsi="黑体" w:eastAsia="黑体" w:cs="黑体"/>
          <w:color w:val="auto"/>
          <w:spacing w:val="0"/>
          <w:kern w:val="0"/>
          <w:sz w:val="32"/>
          <w:szCs w:val="32"/>
        </w:rPr>
      </w:pPr>
      <w:r>
        <w:rPr>
          <w:rFonts w:hint="eastAsia" w:ascii="黑体" w:hAnsi="黑体" w:eastAsia="黑体" w:cs="黑体"/>
          <w:color w:val="auto"/>
          <w:spacing w:val="0"/>
          <w:kern w:val="0"/>
          <w:sz w:val="32"/>
          <w:szCs w:val="32"/>
        </w:rPr>
        <w:t>十</w:t>
      </w:r>
      <w:r>
        <w:rPr>
          <w:rFonts w:hint="eastAsia" w:ascii="黑体" w:hAnsi="黑体" w:eastAsia="黑体" w:cs="黑体"/>
          <w:color w:val="auto"/>
          <w:spacing w:val="0"/>
          <w:kern w:val="0"/>
          <w:sz w:val="32"/>
          <w:szCs w:val="32"/>
          <w:lang w:eastAsia="zh-CN"/>
        </w:rPr>
        <w:t>六</w:t>
      </w:r>
      <w:r>
        <w:rPr>
          <w:rFonts w:hint="eastAsia" w:ascii="黑体" w:hAnsi="黑体" w:eastAsia="黑体" w:cs="黑体"/>
          <w:color w:val="auto"/>
          <w:spacing w:val="0"/>
          <w:kern w:val="0"/>
          <w:sz w:val="32"/>
          <w:szCs w:val="32"/>
        </w:rPr>
        <w:t>、其他事项</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both"/>
        <w:textAlignment w:val="auto"/>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lang w:eastAsia="zh-CN"/>
        </w:rPr>
        <w:t>（一）</w:t>
      </w:r>
      <w:r>
        <w:rPr>
          <w:rFonts w:hint="eastAsia" w:ascii="仿宋_GB2312" w:hAnsi="仿宋_GB2312" w:eastAsia="仿宋_GB2312" w:cs="仿宋_GB2312"/>
          <w:color w:val="auto"/>
          <w:spacing w:val="0"/>
          <w:sz w:val="32"/>
          <w:szCs w:val="32"/>
        </w:rPr>
        <w:t>房地产评估机构的确定按《国有土地上房屋征收评估办法》（建房〔2011〕77号）执行。备选评估机构应具备相应资质。评估机构应当独立、客观、公正地开展房屋征收评估工作，任何单位和个人不得干预。</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both"/>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被征收人或者房屋征收部门对评估结果有异议的，按《国有土地上房屋征收评估办法》（建房〔2011〕77号）、《四川省国有土地上房屋征收与补偿条例》等规定执行。</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both"/>
        <w:textAlignment w:val="auto"/>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评估、测绘等中介机构及相关工作人员出具虚假或者有重大差错的报告，由相关部门依照国家规定依法给予行政处罚，构成犯罪的，依法追究刑事责任。</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both"/>
        <w:textAlignment w:val="auto"/>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lang w:eastAsia="zh-CN"/>
        </w:rPr>
        <w:t>（二）</w:t>
      </w:r>
      <w:r>
        <w:rPr>
          <w:rFonts w:hint="eastAsia" w:ascii="仿宋_GB2312" w:hAnsi="仿宋_GB2312" w:eastAsia="仿宋_GB2312" w:cs="仿宋_GB2312"/>
          <w:color w:val="auto"/>
          <w:spacing w:val="0"/>
          <w:sz w:val="32"/>
          <w:szCs w:val="32"/>
        </w:rPr>
        <w:t>对被征收房屋的建筑结构、年代和房屋用途的认定，以房屋所有权证标注为准；房屋所有权证未标注的，以原始档案记载、产籍资料标注为准。</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lang w:eastAsia="zh-CN"/>
        </w:rPr>
        <w:t>（三）</w:t>
      </w:r>
      <w:r>
        <w:rPr>
          <w:rFonts w:hint="eastAsia" w:ascii="仿宋_GB2312" w:hAnsi="仿宋_GB2312" w:eastAsia="仿宋_GB2312" w:cs="仿宋_GB2312"/>
          <w:color w:val="auto"/>
          <w:spacing w:val="0"/>
          <w:sz w:val="32"/>
          <w:szCs w:val="32"/>
        </w:rPr>
        <w:t>房屋被依法征收的，凡已给予补偿的建筑物、构筑物及附属设施，均交由房屋征收部门处置。</w:t>
      </w:r>
    </w:p>
    <w:p>
      <w:pPr>
        <w:keepNext w:val="0"/>
        <w:keepLines w:val="0"/>
        <w:pageBreakBefore w:val="0"/>
        <w:widowControl w:val="0"/>
        <w:kinsoku/>
        <w:wordWrap/>
        <w:overflowPunct w:val="0"/>
        <w:topLinePunct w:val="0"/>
        <w:autoSpaceDE/>
        <w:autoSpaceDN/>
        <w:bidi w:val="0"/>
        <w:adjustRightInd/>
        <w:snapToGrid/>
        <w:spacing w:line="576" w:lineRule="exact"/>
        <w:ind w:right="0" w:rightChars="0" w:firstLine="640" w:firstLineChars="200"/>
        <w:jc w:val="left"/>
        <w:textAlignment w:val="auto"/>
        <w:rPr>
          <w:rFonts w:hint="eastAsia" w:ascii="仿宋_GB2312" w:hAnsi="仿宋_GB2312" w:eastAsia="仿宋_GB2312" w:cs="仿宋_GB2312"/>
          <w:color w:val="auto"/>
          <w:spacing w:val="0"/>
          <w:sz w:val="32"/>
          <w:szCs w:val="32"/>
        </w:rPr>
      </w:pPr>
      <w:r>
        <w:rPr>
          <w:rFonts w:hint="eastAsia" w:ascii="楷体_GB2312" w:hAnsi="楷体_GB2312" w:eastAsia="楷体_GB2312" w:cs="楷体_GB2312"/>
          <w:color w:val="auto"/>
          <w:spacing w:val="0"/>
          <w:sz w:val="32"/>
          <w:szCs w:val="32"/>
          <w:lang w:eastAsia="zh-CN"/>
        </w:rPr>
        <w:t>（四）</w:t>
      </w:r>
      <w:r>
        <w:rPr>
          <w:rFonts w:hint="eastAsia" w:ascii="仿宋_GB2312" w:hAnsi="仿宋_GB2312" w:eastAsia="仿宋_GB2312" w:cs="仿宋_GB2312"/>
          <w:color w:val="auto"/>
          <w:spacing w:val="0"/>
          <w:sz w:val="32"/>
          <w:szCs w:val="32"/>
        </w:rPr>
        <w:t>本方案与国有土地上房屋征收与补偿相关法律、法规、规章和上级文件不一致的，以相关法律、法规、规章和上级文件规定为准。</w:t>
      </w:r>
    </w:p>
    <w:p>
      <w:r>
        <w:rPr>
          <w:rFonts w:hint="eastAsia" w:ascii="楷体_GB2312" w:hAnsi="楷体_GB2312" w:eastAsia="楷体_GB2312" w:cs="楷体_GB2312"/>
          <w:color w:val="auto"/>
          <w:spacing w:val="0"/>
          <w:sz w:val="32"/>
          <w:szCs w:val="32"/>
          <w:lang w:eastAsia="zh-CN"/>
        </w:rPr>
        <w:t>（五）</w:t>
      </w:r>
      <w:r>
        <w:rPr>
          <w:rFonts w:hint="eastAsia" w:ascii="仿宋_GB2312" w:hAnsi="仿宋_GB2312" w:eastAsia="仿宋_GB2312" w:cs="仿宋_GB2312"/>
          <w:color w:val="auto"/>
          <w:spacing w:val="0"/>
          <w:sz w:val="32"/>
          <w:szCs w:val="32"/>
        </w:rPr>
        <w:t>本方案自</w:t>
      </w:r>
      <w:r>
        <w:rPr>
          <w:rFonts w:hint="eastAsia" w:ascii="仿宋_GB2312" w:hAnsi="仿宋_GB2312" w:eastAsia="仿宋_GB2312" w:cs="仿宋_GB2312"/>
          <w:color w:val="auto"/>
          <w:spacing w:val="0"/>
          <w:sz w:val="32"/>
          <w:szCs w:val="32"/>
          <w:lang w:eastAsia="zh-CN"/>
        </w:rPr>
        <w:t>公告</w:t>
      </w:r>
      <w:r>
        <w:rPr>
          <w:rFonts w:hint="eastAsia" w:ascii="仿宋_GB2312" w:hAnsi="仿宋_GB2312" w:eastAsia="仿宋_GB2312" w:cs="仿宋_GB2312"/>
          <w:color w:val="auto"/>
          <w:spacing w:val="0"/>
          <w:sz w:val="32"/>
          <w:szCs w:val="32"/>
        </w:rPr>
        <w:t>之日起实施</w:t>
      </w:r>
      <w:r>
        <w:rPr>
          <w:rFonts w:hint="eastAsia" w:ascii="仿宋_GB2312" w:hAnsi="仿宋_GB2312" w:eastAsia="仿宋_GB2312" w:cs="仿宋_GB2312"/>
          <w:color w:val="auto"/>
          <w:spacing w:val="0"/>
          <w:sz w:val="32"/>
          <w:szCs w:val="32"/>
          <w:lang w:eastAsia="zh-CN"/>
        </w:rPr>
        <w:t>。</w:t>
      </w:r>
      <w:r>
        <w:rPr>
          <w:rFonts w:hint="eastAsia" w:ascii="宋体" w:hAnsi="宋体" w:eastAsia="宋体" w:cs="宋体"/>
          <w:b w:val="0"/>
          <w:i w:val="0"/>
          <w:caps w:val="0"/>
          <w:color w:val="333333"/>
          <w:spacing w:val="0"/>
          <w:kern w:val="0"/>
          <w:sz w:val="22"/>
          <w:szCs w:val="22"/>
          <w:lang w:val="en-US" w:eastAsia="zh-CN" w:bidi="ar"/>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简体">
    <w:panose1 w:val="02010601030101010101"/>
    <w:charset w:val="86"/>
    <w:family w:val="auto"/>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E0080F"/>
    <w:multiLevelType w:val="singleLevel"/>
    <w:tmpl w:val="1CE0080F"/>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FB20F6"/>
    <w:rsid w:val="4CFB20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Office_11.1.0.8822_F1E327BC-269C-435d-A152-05C5408002CA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2019-09-07T04:57:00Z</dcterms:created>
  <dc:creator>王雄</dc:creator>
  <cp:lastModifiedBy>王雄</cp:lastModifiedBy>
  <dcterms:modified xsi:type="dcterms:W3CDTF">2019-09-07T04:58:09Z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2052-11.1.0.8822</vt:lpwstr>
  </property>
</Properties>
</file>